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DA" w:rsidRDefault="00B27BDA">
      <w:pPr>
        <w:spacing w:line="360" w:lineRule="auto"/>
        <w:jc w:val="center"/>
        <w:rPr>
          <w:rFonts w:ascii="宋体" w:cs="Times New Roman"/>
          <w:b/>
          <w:bCs/>
          <w:kern w:val="0"/>
          <w:sz w:val="28"/>
          <w:szCs w:val="28"/>
        </w:rPr>
      </w:pPr>
      <w:r>
        <w:rPr>
          <w:rFonts w:ascii="宋体" w:hAnsi="宋体" w:cs="宋体" w:hint="eastAsia"/>
          <w:b/>
          <w:bCs/>
          <w:kern w:val="0"/>
          <w:sz w:val="28"/>
          <w:szCs w:val="28"/>
        </w:rPr>
        <w:t>《芦笋水肥一体化技术规程》</w:t>
      </w:r>
    </w:p>
    <w:p w:rsidR="00B27BDA" w:rsidRDefault="00B27BDA">
      <w:pPr>
        <w:spacing w:line="360" w:lineRule="auto"/>
        <w:jc w:val="center"/>
        <w:rPr>
          <w:rFonts w:ascii="宋体" w:cs="Times New Roman"/>
          <w:b/>
          <w:bCs/>
          <w:kern w:val="0"/>
          <w:sz w:val="28"/>
          <w:szCs w:val="28"/>
        </w:rPr>
      </w:pPr>
      <w:r>
        <w:rPr>
          <w:rFonts w:ascii="宋体" w:hAnsi="宋体" w:cs="宋体" w:hint="eastAsia"/>
          <w:b/>
          <w:bCs/>
          <w:kern w:val="0"/>
          <w:sz w:val="28"/>
          <w:szCs w:val="28"/>
        </w:rPr>
        <w:t>江西省地方标准编制说明</w:t>
      </w:r>
    </w:p>
    <w:p w:rsidR="00B27BDA" w:rsidRDefault="00B27BDA" w:rsidP="00C4637C">
      <w:pPr>
        <w:numPr>
          <w:ilvl w:val="0"/>
          <w:numId w:val="1"/>
        </w:numPr>
        <w:spacing w:afterLines="50" w:line="360" w:lineRule="auto"/>
        <w:rPr>
          <w:rFonts w:ascii="宋体" w:cs="Times New Roman"/>
          <w:b/>
          <w:bCs/>
          <w:kern w:val="0"/>
          <w:sz w:val="24"/>
          <w:szCs w:val="24"/>
        </w:rPr>
      </w:pPr>
      <w:r>
        <w:rPr>
          <w:rFonts w:ascii="宋体" w:hAnsi="宋体" w:cs="宋体" w:hint="eastAsia"/>
          <w:b/>
          <w:bCs/>
          <w:kern w:val="0"/>
          <w:sz w:val="24"/>
          <w:szCs w:val="24"/>
        </w:rPr>
        <w:t>目的意义：</w:t>
      </w:r>
    </w:p>
    <w:p w:rsidR="00B27BDA" w:rsidRDefault="00B27BDA" w:rsidP="00FD32F4">
      <w:pPr>
        <w:snapToGrid w:val="0"/>
        <w:spacing w:line="360" w:lineRule="auto"/>
        <w:ind w:firstLineChars="200" w:firstLine="31680"/>
        <w:rPr>
          <w:rFonts w:ascii="宋体" w:cs="Times New Roman"/>
          <w:color w:val="000000"/>
          <w:sz w:val="24"/>
          <w:szCs w:val="24"/>
        </w:rPr>
      </w:pPr>
      <w:r>
        <w:rPr>
          <w:rFonts w:ascii="宋体" w:hAnsi="宋体" w:cs="宋体" w:hint="eastAsia"/>
          <w:sz w:val="24"/>
          <w:szCs w:val="24"/>
        </w:rPr>
        <w:t>我省以创建蔬菜标准园和生产基地为重点，推动全省设施蔬菜面积逐年增加，无公害蔬菜、绿色蔬菜、有机蔬菜等特色蔬菜发展迅速，播种面积达</w:t>
      </w:r>
      <w:r>
        <w:rPr>
          <w:rFonts w:ascii="宋体" w:hAnsi="宋体" w:cs="宋体"/>
          <w:sz w:val="24"/>
          <w:szCs w:val="24"/>
        </w:rPr>
        <w:t>830</w:t>
      </w:r>
      <w:r>
        <w:rPr>
          <w:rFonts w:ascii="宋体" w:hAnsi="宋体" w:cs="宋体" w:hint="eastAsia"/>
          <w:sz w:val="24"/>
          <w:szCs w:val="24"/>
        </w:rPr>
        <w:t>万亩，产量</w:t>
      </w:r>
      <w:r>
        <w:rPr>
          <w:rFonts w:ascii="宋体" w:hAnsi="宋体" w:cs="宋体"/>
          <w:sz w:val="24"/>
          <w:szCs w:val="24"/>
        </w:rPr>
        <w:t>1225</w:t>
      </w:r>
      <w:r>
        <w:rPr>
          <w:rFonts w:ascii="宋体" w:hAnsi="宋体" w:cs="宋体" w:hint="eastAsia"/>
          <w:sz w:val="24"/>
          <w:szCs w:val="24"/>
        </w:rPr>
        <w:t>万吨，其中设施蔬菜面积达</w:t>
      </w:r>
      <w:r>
        <w:rPr>
          <w:rFonts w:ascii="宋体" w:hAnsi="宋体" w:cs="宋体"/>
          <w:sz w:val="24"/>
          <w:szCs w:val="24"/>
        </w:rPr>
        <w:t>167</w:t>
      </w:r>
      <w:r>
        <w:rPr>
          <w:rFonts w:ascii="宋体" w:hAnsi="宋体" w:cs="宋体" w:hint="eastAsia"/>
          <w:sz w:val="24"/>
          <w:szCs w:val="24"/>
        </w:rPr>
        <w:t>万亩，我省正向蔬菜产量大省迈进。</w:t>
      </w:r>
      <w:r>
        <w:rPr>
          <w:rFonts w:ascii="宋体" w:hAnsi="宋体" w:cs="宋体" w:hint="eastAsia"/>
          <w:color w:val="000000"/>
          <w:sz w:val="24"/>
          <w:szCs w:val="24"/>
        </w:rPr>
        <w:t>近年来，江西芦笋产业发展迅速，全省种植面积达到</w:t>
      </w:r>
      <w:r>
        <w:rPr>
          <w:rFonts w:ascii="宋体" w:hAnsi="宋体" w:cs="宋体"/>
          <w:color w:val="000000"/>
          <w:sz w:val="24"/>
          <w:szCs w:val="24"/>
        </w:rPr>
        <w:t>1</w:t>
      </w:r>
      <w:r>
        <w:rPr>
          <w:rFonts w:ascii="宋体" w:hAnsi="宋体" w:cs="宋体" w:hint="eastAsia"/>
          <w:color w:val="000000"/>
          <w:sz w:val="24"/>
          <w:szCs w:val="24"/>
        </w:rPr>
        <w:t>万余亩，年产值超过</w:t>
      </w:r>
      <w:r>
        <w:rPr>
          <w:rFonts w:ascii="宋体" w:hAnsi="宋体" w:cs="宋体"/>
          <w:color w:val="000000"/>
          <w:sz w:val="24"/>
          <w:szCs w:val="24"/>
        </w:rPr>
        <w:t>1.5</w:t>
      </w:r>
      <w:r>
        <w:rPr>
          <w:rFonts w:ascii="宋体" w:hAnsi="宋体" w:cs="宋体" w:hint="eastAsia"/>
          <w:color w:val="000000"/>
          <w:sz w:val="24"/>
          <w:szCs w:val="24"/>
        </w:rPr>
        <w:t>亿元，芦笋产</w:t>
      </w:r>
      <w:bookmarkStart w:id="0" w:name="_GoBack"/>
      <w:bookmarkEnd w:id="0"/>
      <w:r>
        <w:rPr>
          <w:rFonts w:ascii="宋体" w:hAnsi="宋体" w:cs="宋体" w:hint="eastAsia"/>
          <w:color w:val="000000"/>
          <w:sz w:val="24"/>
          <w:szCs w:val="24"/>
        </w:rPr>
        <w:t>业正在以规模化、标准化、集约化发展。</w:t>
      </w:r>
    </w:p>
    <w:p w:rsidR="00B27BDA" w:rsidRDefault="00B27BDA" w:rsidP="00FD32F4">
      <w:pPr>
        <w:snapToGrid w:val="0"/>
        <w:spacing w:line="360" w:lineRule="auto"/>
        <w:ind w:firstLineChars="200" w:firstLine="31680"/>
        <w:rPr>
          <w:rFonts w:ascii="宋体" w:cs="Times New Roman"/>
          <w:sz w:val="24"/>
          <w:szCs w:val="24"/>
        </w:rPr>
      </w:pPr>
      <w:r>
        <w:rPr>
          <w:rFonts w:ascii="宋体" w:hAnsi="宋体" w:cs="宋体" w:hint="eastAsia"/>
          <w:sz w:val="24"/>
          <w:szCs w:val="24"/>
        </w:rPr>
        <w:t>灌溉和施肥是芦笋种植的两项重要管理措施，是生产成本中的重要组成。传统上灌溉和施肥分开进行，需要大量的人工和费用。经过研究实践，我们总结出一套以滴灌施肥为核心的水肥一体化技术，将灌溉技术与配方施肥融为一体，能够精确控制灌水量和施肥量，具有节水节肥、节省劳力、减轻病虫草害、提高产量品质、高效环保等诸多优点。为了在我省全面推广该技术，制定本技术规程尤为必要。经查新，国内外目前尚无专门针对蔬菜的水肥一体化规范。本标准的制定将对我省蔬菜产业的发展提供有效技术支撑。</w:t>
      </w:r>
    </w:p>
    <w:p w:rsidR="00B27BDA" w:rsidRDefault="00B27BDA">
      <w:pPr>
        <w:spacing w:line="360" w:lineRule="auto"/>
        <w:rPr>
          <w:rFonts w:ascii="宋体" w:cs="Times New Roman"/>
          <w:b/>
          <w:bCs/>
          <w:kern w:val="0"/>
          <w:sz w:val="24"/>
          <w:szCs w:val="24"/>
        </w:rPr>
      </w:pPr>
      <w:r>
        <w:rPr>
          <w:rFonts w:ascii="宋体" w:hAnsi="宋体" w:cs="宋体" w:hint="eastAsia"/>
          <w:b/>
          <w:bCs/>
          <w:kern w:val="0"/>
          <w:sz w:val="24"/>
          <w:szCs w:val="24"/>
        </w:rPr>
        <w:t>二、标准编制概况：</w:t>
      </w:r>
    </w:p>
    <w:p w:rsidR="00B27BDA" w:rsidRDefault="00B27BDA">
      <w:pPr>
        <w:spacing w:line="360" w:lineRule="auto"/>
        <w:ind w:firstLine="480"/>
        <w:rPr>
          <w:rFonts w:ascii="宋体" w:cs="Times New Roman"/>
          <w:b/>
          <w:bCs/>
          <w:color w:val="000000"/>
          <w:sz w:val="24"/>
          <w:szCs w:val="24"/>
        </w:rPr>
      </w:pPr>
      <w:r>
        <w:rPr>
          <w:rFonts w:ascii="宋体" w:hAnsi="宋体" w:cs="宋体" w:hint="eastAsia"/>
          <w:b/>
          <w:bCs/>
          <w:color w:val="000000"/>
          <w:sz w:val="24"/>
          <w:szCs w:val="24"/>
        </w:rPr>
        <w:t>（一）基本情况：</w:t>
      </w:r>
    </w:p>
    <w:p w:rsidR="00B27BDA" w:rsidRDefault="00B27BDA">
      <w:pPr>
        <w:spacing w:line="360" w:lineRule="auto"/>
        <w:ind w:firstLine="480"/>
        <w:rPr>
          <w:rFonts w:ascii="宋体" w:cs="Times New Roman"/>
          <w:color w:val="000000"/>
          <w:sz w:val="24"/>
          <w:szCs w:val="24"/>
        </w:rPr>
      </w:pPr>
      <w:r>
        <w:rPr>
          <w:rFonts w:ascii="宋体" w:hAnsi="宋体" w:cs="宋体"/>
          <w:color w:val="000000"/>
          <w:sz w:val="24"/>
          <w:szCs w:val="24"/>
        </w:rPr>
        <w:t>1.</w:t>
      </w:r>
      <w:r>
        <w:rPr>
          <w:sz w:val="24"/>
          <w:szCs w:val="24"/>
        </w:rPr>
        <w:t xml:space="preserve"> </w:t>
      </w:r>
      <w:r>
        <w:rPr>
          <w:rFonts w:cs="宋体" w:hint="eastAsia"/>
          <w:sz w:val="24"/>
          <w:szCs w:val="24"/>
        </w:rPr>
        <w:t>本标准由江西省农业厅提出并归口。</w:t>
      </w:r>
    </w:p>
    <w:p w:rsidR="00B27BDA" w:rsidRDefault="00B27BDA">
      <w:pPr>
        <w:spacing w:line="360" w:lineRule="auto"/>
        <w:ind w:firstLine="480"/>
        <w:rPr>
          <w:rFonts w:ascii="宋体" w:cs="Times New Roman"/>
          <w:color w:val="000000"/>
          <w:sz w:val="24"/>
          <w:szCs w:val="24"/>
        </w:rPr>
      </w:pPr>
      <w:r>
        <w:rPr>
          <w:rFonts w:ascii="宋体" w:hAnsi="宋体" w:cs="宋体"/>
          <w:color w:val="000000"/>
          <w:sz w:val="24"/>
          <w:szCs w:val="24"/>
        </w:rPr>
        <w:t>2.</w:t>
      </w:r>
      <w:r>
        <w:rPr>
          <w:rFonts w:ascii="宋体" w:hAnsi="宋体" w:cs="宋体" w:hint="eastAsia"/>
          <w:color w:val="000000"/>
          <w:sz w:val="24"/>
          <w:szCs w:val="24"/>
        </w:rPr>
        <w:t>本标准起草单位：江西省农业科学院蔬菜花卉研究所、江西省农业科学院土壤肥料与资源环境研究所、江西添雨添沃农业发展有限公司。</w:t>
      </w:r>
    </w:p>
    <w:p w:rsidR="00B27BDA" w:rsidRDefault="00B27BDA">
      <w:pPr>
        <w:spacing w:line="360" w:lineRule="auto"/>
        <w:ind w:firstLine="480"/>
        <w:rPr>
          <w:rFonts w:ascii="宋体" w:cs="Times New Roman"/>
          <w:sz w:val="24"/>
          <w:szCs w:val="24"/>
        </w:rPr>
      </w:pPr>
      <w:r>
        <w:rPr>
          <w:rFonts w:ascii="宋体" w:hAnsi="宋体" w:cs="宋体"/>
          <w:color w:val="000000"/>
          <w:sz w:val="24"/>
          <w:szCs w:val="24"/>
        </w:rPr>
        <w:t>3.</w:t>
      </w:r>
      <w:r>
        <w:rPr>
          <w:rFonts w:ascii="宋体" w:hAnsi="宋体" w:cs="宋体" w:hint="eastAsia"/>
          <w:color w:val="000000"/>
          <w:sz w:val="24"/>
          <w:szCs w:val="24"/>
        </w:rPr>
        <w:t>本标准编写格式依据</w:t>
      </w:r>
      <w:r>
        <w:rPr>
          <w:rFonts w:ascii="宋体" w:hAnsi="宋体" w:cs="宋体"/>
          <w:sz w:val="24"/>
          <w:szCs w:val="24"/>
        </w:rPr>
        <w:t>GB/T1.1-2009</w:t>
      </w:r>
      <w:r>
        <w:rPr>
          <w:rFonts w:ascii="宋体" w:hAnsi="宋体" w:cs="宋体" w:hint="eastAsia"/>
          <w:sz w:val="24"/>
          <w:szCs w:val="24"/>
        </w:rPr>
        <w:t>《标准化工作导则</w:t>
      </w: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1</w:t>
      </w:r>
      <w:r>
        <w:rPr>
          <w:rFonts w:ascii="宋体" w:hAnsi="宋体" w:cs="宋体" w:hint="eastAsia"/>
          <w:sz w:val="24"/>
          <w:szCs w:val="24"/>
        </w:rPr>
        <w:t>部分：标准的结构和编写》。</w:t>
      </w:r>
    </w:p>
    <w:p w:rsidR="00B27BDA" w:rsidRDefault="00B27BDA">
      <w:pPr>
        <w:tabs>
          <w:tab w:val="center" w:pos="4201"/>
          <w:tab w:val="right" w:leader="dot" w:pos="9298"/>
        </w:tabs>
        <w:spacing w:line="360" w:lineRule="auto"/>
        <w:rPr>
          <w:rFonts w:ascii="宋体" w:cs="Times New Roman"/>
          <w:color w:val="000000"/>
          <w:sz w:val="24"/>
          <w:szCs w:val="24"/>
        </w:rPr>
      </w:pPr>
      <w:r>
        <w:rPr>
          <w:rFonts w:ascii="宋体" w:hAnsi="宋体" w:cs="宋体"/>
          <w:sz w:val="24"/>
          <w:szCs w:val="24"/>
        </w:rPr>
        <w:t xml:space="preserve">    4.</w:t>
      </w:r>
      <w:r>
        <w:rPr>
          <w:rFonts w:ascii="宋体" w:hAnsi="宋体" w:cs="宋体" w:hint="eastAsia"/>
          <w:sz w:val="24"/>
          <w:szCs w:val="24"/>
        </w:rPr>
        <w:t>本标准主要起草</w:t>
      </w:r>
      <w:r>
        <w:rPr>
          <w:rFonts w:ascii="宋体" w:hAnsi="宋体" w:cs="宋体" w:hint="eastAsia"/>
          <w:color w:val="000000"/>
          <w:sz w:val="24"/>
          <w:szCs w:val="24"/>
        </w:rPr>
        <w:t>人：罗绍春、邱才飞、廖圣辉、尹玉玲、付友生、谢启鑫、陈霞、汤泳萍、周劲松、张岳平、陈光宇。</w:t>
      </w:r>
    </w:p>
    <w:p w:rsidR="00B27BDA" w:rsidRDefault="00B27BDA">
      <w:pPr>
        <w:spacing w:line="360" w:lineRule="auto"/>
        <w:ind w:firstLine="480"/>
        <w:rPr>
          <w:rFonts w:ascii="宋体" w:cs="Times New Roman"/>
          <w:sz w:val="24"/>
          <w:szCs w:val="24"/>
        </w:rPr>
      </w:pPr>
      <w:r>
        <w:rPr>
          <w:rFonts w:ascii="宋体" w:hAnsi="宋体" w:cs="宋体"/>
          <w:sz w:val="24"/>
          <w:szCs w:val="24"/>
        </w:rPr>
        <w:t>5.</w:t>
      </w:r>
      <w:r>
        <w:rPr>
          <w:rFonts w:ascii="宋体" w:hAnsi="宋体" w:cs="宋体" w:hint="eastAsia"/>
          <w:sz w:val="24"/>
          <w:szCs w:val="24"/>
        </w:rPr>
        <w:t>本标准是在进行了严格的科学试验示范，查阅了大量相关资料文献，广泛收集和总结现有芦笋栽培灌溉与施肥管理既有成果的基础上进行编制的。</w:t>
      </w:r>
    </w:p>
    <w:p w:rsidR="00B27BDA" w:rsidRDefault="00B27BDA">
      <w:pPr>
        <w:spacing w:line="360" w:lineRule="auto"/>
        <w:rPr>
          <w:rFonts w:ascii="宋体" w:cs="Times New Roman"/>
          <w:b/>
          <w:bCs/>
          <w:color w:val="000000"/>
          <w:sz w:val="24"/>
          <w:szCs w:val="24"/>
        </w:rPr>
      </w:pPr>
      <w:r>
        <w:rPr>
          <w:rFonts w:ascii="宋体" w:hAnsi="宋体" w:cs="宋体" w:hint="eastAsia"/>
          <w:b/>
          <w:bCs/>
          <w:color w:val="000000"/>
          <w:sz w:val="24"/>
          <w:szCs w:val="24"/>
        </w:rPr>
        <w:t>（二）主要技术依据和部分条款说明：</w:t>
      </w:r>
    </w:p>
    <w:p w:rsidR="00B27BDA" w:rsidRDefault="00B27BDA">
      <w:pPr>
        <w:spacing w:line="360" w:lineRule="auto"/>
        <w:ind w:firstLine="480"/>
        <w:rPr>
          <w:rFonts w:ascii="宋体" w:cs="Times New Roman"/>
          <w:sz w:val="24"/>
          <w:szCs w:val="24"/>
        </w:rPr>
      </w:pPr>
      <w:r>
        <w:rPr>
          <w:rFonts w:ascii="宋体" w:hAnsi="宋体" w:cs="宋体"/>
          <w:color w:val="000000"/>
          <w:sz w:val="24"/>
          <w:szCs w:val="24"/>
        </w:rPr>
        <w:t>1.</w:t>
      </w:r>
      <w:r>
        <w:rPr>
          <w:rFonts w:ascii="宋体" w:hAnsi="宋体" w:cs="宋体" w:hint="eastAsia"/>
          <w:color w:val="000000"/>
          <w:sz w:val="24"/>
          <w:szCs w:val="24"/>
        </w:rPr>
        <w:t>本标准编制遵循“先进性、实用性、统一性”原则，尽可能与国内外领先标准接轨，注重了标准的可操作性，严格按</w:t>
      </w:r>
      <w:r>
        <w:rPr>
          <w:rFonts w:ascii="宋体" w:hAnsi="宋体" w:cs="宋体"/>
          <w:sz w:val="24"/>
          <w:szCs w:val="24"/>
        </w:rPr>
        <w:t>GB/T1.1-2009</w:t>
      </w:r>
      <w:r>
        <w:rPr>
          <w:rFonts w:ascii="宋体" w:hAnsi="宋体" w:cs="宋体" w:hint="eastAsia"/>
          <w:sz w:val="24"/>
          <w:szCs w:val="24"/>
        </w:rPr>
        <w:t>最新版本的要求进行编写。</w:t>
      </w:r>
    </w:p>
    <w:p w:rsidR="00B27BDA" w:rsidRDefault="00B27BDA">
      <w:pPr>
        <w:spacing w:line="360" w:lineRule="auto"/>
        <w:ind w:firstLine="480"/>
        <w:rPr>
          <w:rFonts w:ascii="宋体" w:cs="Times New Roman"/>
          <w:color w:val="000000"/>
          <w:sz w:val="24"/>
          <w:szCs w:val="24"/>
        </w:rPr>
      </w:pPr>
      <w:r>
        <w:rPr>
          <w:rFonts w:ascii="宋体" w:hAnsi="宋体" w:cs="宋体"/>
          <w:sz w:val="24"/>
          <w:szCs w:val="24"/>
        </w:rPr>
        <w:t>2.</w:t>
      </w:r>
      <w:r>
        <w:rPr>
          <w:rFonts w:ascii="宋体" w:hAnsi="宋体" w:cs="宋体" w:hint="eastAsia"/>
          <w:sz w:val="24"/>
          <w:szCs w:val="24"/>
        </w:rPr>
        <w:t>范围。</w:t>
      </w:r>
      <w:r>
        <w:rPr>
          <w:rFonts w:ascii="宋体" w:hAnsi="宋体" w:cs="宋体" w:hint="eastAsia"/>
          <w:color w:val="000000"/>
          <w:sz w:val="24"/>
          <w:szCs w:val="24"/>
        </w:rPr>
        <w:t>本标准规定了芦笋水肥一体化技术全过程。本标准适用于江西省境内芦笋设施栽培、高效安全生产过程中的灌溉施肥。</w:t>
      </w:r>
    </w:p>
    <w:p w:rsidR="00B27BDA" w:rsidRDefault="00B27BDA">
      <w:pPr>
        <w:spacing w:line="360" w:lineRule="auto"/>
        <w:ind w:firstLine="480"/>
        <w:rPr>
          <w:rFonts w:ascii="宋体" w:cs="Times New Roman"/>
          <w:color w:val="000000"/>
          <w:sz w:val="24"/>
          <w:szCs w:val="24"/>
        </w:rPr>
      </w:pPr>
      <w:r>
        <w:rPr>
          <w:rFonts w:ascii="宋体" w:hAnsi="宋体" w:cs="宋体"/>
          <w:color w:val="000000"/>
          <w:sz w:val="24"/>
          <w:szCs w:val="24"/>
        </w:rPr>
        <w:t>3.</w:t>
      </w:r>
      <w:r>
        <w:rPr>
          <w:rFonts w:ascii="宋体" w:hAnsi="宋体" w:cs="宋体" w:hint="eastAsia"/>
          <w:color w:val="000000"/>
          <w:sz w:val="24"/>
          <w:szCs w:val="24"/>
        </w:rPr>
        <w:t>术语。本标准术语参考了国内有关文献资料，较为通俗易懂。</w:t>
      </w:r>
    </w:p>
    <w:p w:rsidR="00B27BDA" w:rsidRDefault="00B27BDA">
      <w:pPr>
        <w:spacing w:line="360" w:lineRule="auto"/>
        <w:ind w:firstLine="480"/>
        <w:rPr>
          <w:rFonts w:ascii="宋体" w:cs="Times New Roman"/>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水肥一体化：是将灌溉与施肥融为一体的农业新技术，借助压力系统（或地形自然落差），将可溶性固体或液体肥料按土壤养分含量和作物需肥规律和特点，配兑成的肥液与灌溉水一起相融后，利用可控管道系统，通过管道和滴头形成滴灌，均匀、定时、定量浸润作物根系生长区域，使主要根系土壤始终保持疏松和适宜的含水量，同时根据不同的作物的需肥特点，土壤环境和养分含量状况，以及作物不同生长期需水、需肥规律情况进行不同生育期的需求设计，把水分、养分定时定量，按比例直接提供给作物。</w:t>
      </w:r>
    </w:p>
    <w:p w:rsidR="00B27BDA" w:rsidRDefault="00B27BDA">
      <w:pPr>
        <w:spacing w:line="360" w:lineRule="auto"/>
        <w:ind w:firstLine="480"/>
        <w:rPr>
          <w:rFonts w:ascii="宋体" w:cs="Times New Roman"/>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）节水灌溉：以最低限度的用水量获得最大的产量或收益，也就是最大限度地提高单位灌溉水量的农作物产量和产值的灌溉措施。</w:t>
      </w:r>
    </w:p>
    <w:p w:rsidR="00B27BDA" w:rsidRDefault="00B27BDA">
      <w:pPr>
        <w:spacing w:line="360" w:lineRule="auto"/>
        <w:ind w:firstLine="480"/>
        <w:rPr>
          <w:rFonts w:ascii="宋体" w:cs="Times New Roman"/>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）水溶性肥料：</w:t>
      </w:r>
      <w:r>
        <w:rPr>
          <w:rFonts w:ascii="宋体" w:hAnsi="宋体" w:cs="宋体"/>
          <w:color w:val="000000"/>
          <w:sz w:val="24"/>
          <w:szCs w:val="24"/>
        </w:rPr>
        <w:t>WaterSolubleFertilizer</w:t>
      </w:r>
      <w:r>
        <w:rPr>
          <w:rFonts w:ascii="宋体" w:hAnsi="宋体" w:cs="宋体" w:hint="eastAsia"/>
          <w:color w:val="000000"/>
          <w:sz w:val="24"/>
          <w:szCs w:val="24"/>
        </w:rPr>
        <w:t>，简称</w:t>
      </w:r>
      <w:r>
        <w:rPr>
          <w:rFonts w:ascii="宋体" w:hAnsi="宋体" w:cs="宋体"/>
          <w:color w:val="000000"/>
          <w:sz w:val="24"/>
          <w:szCs w:val="24"/>
        </w:rPr>
        <w:t>WSF</w:t>
      </w:r>
      <w:r>
        <w:rPr>
          <w:rFonts w:ascii="宋体" w:hAnsi="宋体" w:cs="宋体" w:hint="eastAsia"/>
          <w:color w:val="000000"/>
          <w:sz w:val="24"/>
          <w:szCs w:val="24"/>
        </w:rPr>
        <w:t>，是一种可以完全溶于水的多元</w:t>
      </w:r>
      <w:hyperlink r:id="rId5" w:tgtFrame="http://baike.sogou.com/_blank" w:history="1">
        <w:r>
          <w:rPr>
            <w:rFonts w:ascii="宋体" w:hAnsi="宋体" w:cs="宋体" w:hint="eastAsia"/>
            <w:color w:val="000000"/>
            <w:sz w:val="24"/>
            <w:szCs w:val="24"/>
          </w:rPr>
          <w:t>复合肥料</w:t>
        </w:r>
      </w:hyperlink>
      <w:r>
        <w:rPr>
          <w:rFonts w:ascii="宋体" w:hAnsi="宋体" w:cs="宋体" w:hint="eastAsia"/>
          <w:color w:val="000000"/>
          <w:sz w:val="24"/>
          <w:szCs w:val="24"/>
        </w:rPr>
        <w:t>，它能迅速地溶解于水中，更容易被作物吸收，而且其吸收利用率相对较高，更为关键的是它可以应用于喷滴灌等</w:t>
      </w:r>
      <w:hyperlink r:id="rId6" w:tgtFrame="http://baike.sogou.com/_blank" w:history="1">
        <w:r>
          <w:rPr>
            <w:rFonts w:ascii="宋体" w:hAnsi="宋体" w:cs="宋体" w:hint="eastAsia"/>
            <w:color w:val="000000"/>
            <w:sz w:val="24"/>
            <w:szCs w:val="24"/>
          </w:rPr>
          <w:t>设施农业</w:t>
        </w:r>
      </w:hyperlink>
      <w:r>
        <w:rPr>
          <w:rFonts w:ascii="宋体" w:hAnsi="宋体" w:cs="宋体" w:hint="eastAsia"/>
          <w:color w:val="000000"/>
          <w:sz w:val="24"/>
          <w:szCs w:val="24"/>
        </w:rPr>
        <w:t>，实现</w:t>
      </w:r>
      <w:hyperlink r:id="rId7" w:tgtFrame="http://baike.sogou.com/_blank" w:history="1">
        <w:r>
          <w:rPr>
            <w:rFonts w:ascii="宋体" w:hAnsi="宋体" w:cs="宋体" w:hint="eastAsia"/>
            <w:color w:val="000000"/>
            <w:sz w:val="24"/>
            <w:szCs w:val="24"/>
          </w:rPr>
          <w:t>水肥一体化</w:t>
        </w:r>
      </w:hyperlink>
      <w:r>
        <w:rPr>
          <w:rFonts w:ascii="宋体" w:hAnsi="宋体" w:cs="宋体" w:hint="eastAsia"/>
          <w:color w:val="000000"/>
          <w:sz w:val="24"/>
          <w:szCs w:val="24"/>
        </w:rPr>
        <w:t>，达到省水省肥省工的效能。</w:t>
      </w:r>
    </w:p>
    <w:p w:rsidR="00B27BDA" w:rsidRDefault="00B27BDA">
      <w:pPr>
        <w:spacing w:line="360" w:lineRule="auto"/>
        <w:ind w:firstLine="480"/>
        <w:rPr>
          <w:rFonts w:ascii="宋体" w:cs="Times New Roman"/>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w:t>
      </w:r>
      <w:r>
        <w:rPr>
          <w:rFonts w:ascii="宋体" w:hAnsi="宋体" w:cs="宋体"/>
          <w:color w:val="000000"/>
          <w:sz w:val="24"/>
          <w:szCs w:val="24"/>
        </w:rPr>
        <w:t>EC</w:t>
      </w:r>
      <w:r>
        <w:rPr>
          <w:rFonts w:ascii="宋体" w:hAnsi="宋体" w:cs="宋体" w:hint="eastAsia"/>
          <w:color w:val="000000"/>
          <w:sz w:val="24"/>
          <w:szCs w:val="24"/>
        </w:rPr>
        <w:t>值：是用来测量溶液中可溶性盐浓度的，也可以用来测量液体肥料或种植介质中的可溶性离子浓度。高浓度的可溶性盐类会使植物受到损伤或造成植株根系的死亡。</w:t>
      </w:r>
      <w:r>
        <w:rPr>
          <w:rFonts w:ascii="宋体" w:hAnsi="宋体" w:cs="宋体"/>
          <w:color w:val="000000"/>
          <w:sz w:val="24"/>
          <w:szCs w:val="24"/>
        </w:rPr>
        <w:t>EC</w:t>
      </w:r>
      <w:r>
        <w:rPr>
          <w:rFonts w:ascii="宋体" w:hAnsi="宋体" w:cs="宋体" w:hint="eastAsia"/>
          <w:color w:val="000000"/>
          <w:sz w:val="24"/>
          <w:szCs w:val="24"/>
        </w:rPr>
        <w:t>值的单位用</w:t>
      </w:r>
      <w:r>
        <w:rPr>
          <w:rFonts w:ascii="宋体" w:hAnsi="宋体" w:cs="宋体"/>
          <w:color w:val="000000"/>
          <w:sz w:val="24"/>
          <w:szCs w:val="24"/>
        </w:rPr>
        <w:t xml:space="preserve">mS/cm </w:t>
      </w:r>
      <w:r>
        <w:rPr>
          <w:rFonts w:ascii="宋体" w:hAnsi="宋体" w:cs="宋体" w:hint="eastAsia"/>
          <w:color w:val="000000"/>
          <w:sz w:val="24"/>
          <w:szCs w:val="24"/>
        </w:rPr>
        <w:t>或</w:t>
      </w:r>
      <w:r>
        <w:rPr>
          <w:rFonts w:ascii="宋体" w:hAnsi="宋体" w:cs="宋体"/>
          <w:color w:val="000000"/>
          <w:sz w:val="24"/>
          <w:szCs w:val="24"/>
        </w:rPr>
        <w:t>mmhos/cm</w:t>
      </w:r>
      <w:r>
        <w:rPr>
          <w:rFonts w:ascii="宋体" w:hAnsi="宋体" w:cs="宋体" w:hint="eastAsia"/>
          <w:color w:val="000000"/>
          <w:sz w:val="24"/>
          <w:szCs w:val="24"/>
        </w:rPr>
        <w:t>表示，测量温度通常为</w:t>
      </w:r>
      <w:r>
        <w:rPr>
          <w:rFonts w:ascii="宋体" w:hAnsi="宋体" w:cs="宋体"/>
          <w:color w:val="000000"/>
          <w:sz w:val="24"/>
          <w:szCs w:val="24"/>
        </w:rPr>
        <w:t>25</w:t>
      </w:r>
      <w:r>
        <w:rPr>
          <w:rFonts w:ascii="宋体" w:hAnsi="宋体" w:cs="宋体" w:hint="eastAsia"/>
          <w:color w:val="000000"/>
          <w:sz w:val="24"/>
          <w:szCs w:val="24"/>
        </w:rPr>
        <w:t>℃。正常的</w:t>
      </w:r>
      <w:r>
        <w:rPr>
          <w:rFonts w:ascii="宋体" w:hAnsi="宋体" w:cs="宋体"/>
          <w:color w:val="000000"/>
          <w:sz w:val="24"/>
          <w:szCs w:val="24"/>
        </w:rPr>
        <w:t>EC</w:t>
      </w:r>
      <w:r>
        <w:rPr>
          <w:rFonts w:ascii="宋体" w:hAnsi="宋体" w:cs="宋体" w:hint="eastAsia"/>
          <w:color w:val="000000"/>
          <w:sz w:val="24"/>
          <w:szCs w:val="24"/>
        </w:rPr>
        <w:t>值范围在</w:t>
      </w:r>
      <w:r>
        <w:rPr>
          <w:rFonts w:ascii="宋体" w:hAnsi="宋体" w:cs="宋体"/>
          <w:color w:val="000000"/>
          <w:sz w:val="24"/>
          <w:szCs w:val="24"/>
        </w:rPr>
        <w:t>1-4mmhos/cm(</w:t>
      </w:r>
      <w:r>
        <w:rPr>
          <w:rFonts w:ascii="宋体" w:hAnsi="宋体" w:cs="宋体" w:hint="eastAsia"/>
          <w:color w:val="000000"/>
          <w:sz w:val="24"/>
          <w:szCs w:val="24"/>
        </w:rPr>
        <w:t>或</w:t>
      </w:r>
      <w:r>
        <w:rPr>
          <w:rFonts w:ascii="宋体" w:hAnsi="宋体" w:cs="宋体"/>
          <w:color w:val="000000"/>
          <w:sz w:val="24"/>
          <w:szCs w:val="24"/>
        </w:rPr>
        <w:t>mS/cm)</w:t>
      </w:r>
      <w:r>
        <w:rPr>
          <w:rFonts w:ascii="宋体" w:hAnsi="宋体" w:cs="宋体" w:hint="eastAsia"/>
          <w:color w:val="000000"/>
          <w:sz w:val="24"/>
          <w:szCs w:val="24"/>
        </w:rPr>
        <w:t>之间。基质中可溶性盐含量</w:t>
      </w:r>
      <w:r>
        <w:rPr>
          <w:rFonts w:ascii="宋体" w:hAnsi="宋体" w:cs="宋体"/>
          <w:color w:val="000000"/>
          <w:sz w:val="24"/>
          <w:szCs w:val="24"/>
        </w:rPr>
        <w:t>(EC</w:t>
      </w:r>
      <w:r>
        <w:rPr>
          <w:rFonts w:ascii="宋体" w:hAnsi="宋体" w:cs="宋体" w:hint="eastAsia"/>
          <w:color w:val="000000"/>
          <w:sz w:val="24"/>
          <w:szCs w:val="24"/>
        </w:rPr>
        <w:t>值</w:t>
      </w:r>
      <w:r>
        <w:rPr>
          <w:rFonts w:ascii="宋体" w:hAnsi="宋体" w:cs="宋体"/>
          <w:color w:val="000000"/>
          <w:sz w:val="24"/>
          <w:szCs w:val="24"/>
        </w:rPr>
        <w:t>)</w:t>
      </w:r>
      <w:r>
        <w:rPr>
          <w:rFonts w:ascii="宋体" w:hAnsi="宋体" w:cs="宋体" w:hint="eastAsia"/>
          <w:color w:val="000000"/>
          <w:sz w:val="24"/>
          <w:szCs w:val="24"/>
        </w:rPr>
        <w:t>过高，可能会形成</w:t>
      </w:r>
      <w:hyperlink r:id="rId8" w:tgtFrame="http://baike.sogou.com/_blank" w:history="1">
        <w:r>
          <w:rPr>
            <w:rFonts w:ascii="宋体" w:hAnsi="宋体" w:cs="宋体" w:hint="eastAsia"/>
            <w:color w:val="000000"/>
            <w:sz w:val="24"/>
            <w:szCs w:val="24"/>
          </w:rPr>
          <w:t>反渗透</w:t>
        </w:r>
      </w:hyperlink>
      <w:r>
        <w:rPr>
          <w:rFonts w:ascii="宋体" w:hAnsi="宋体" w:cs="宋体" w:hint="eastAsia"/>
          <w:color w:val="000000"/>
          <w:sz w:val="24"/>
          <w:szCs w:val="24"/>
        </w:rPr>
        <w:t>压，将根系中的水分置换出来，使根尖变褐或者干枯。</w:t>
      </w:r>
    </w:p>
    <w:p w:rsidR="00B27BDA" w:rsidRDefault="00B27BDA">
      <w:pPr>
        <w:spacing w:line="360" w:lineRule="auto"/>
        <w:ind w:firstLine="480"/>
        <w:rPr>
          <w:rFonts w:ascii="宋体" w:cs="Times New Roman"/>
          <w:color w:val="000000"/>
          <w:sz w:val="24"/>
          <w:szCs w:val="24"/>
        </w:rPr>
      </w:pPr>
      <w:r>
        <w:rPr>
          <w:rFonts w:ascii="宋体" w:hAnsi="宋体" w:cs="宋体"/>
          <w:color w:val="000000"/>
          <w:sz w:val="24"/>
          <w:szCs w:val="24"/>
        </w:rPr>
        <w:t>4.</w:t>
      </w:r>
      <w:r>
        <w:rPr>
          <w:rFonts w:ascii="宋体" w:hAnsi="宋体" w:cs="宋体" w:hint="eastAsia"/>
          <w:color w:val="000000"/>
          <w:sz w:val="24"/>
          <w:szCs w:val="24"/>
        </w:rPr>
        <w:t>芦笋水肥一体化。芦笋水肥一体化，就是采用滴灌施肥系统，它是由一系列不同口径的塑料管道组成田间管网，灌溉水和溶于水中的化肥，通过首部枢纽加压，从水源被直接输送到芦笋根部，以点滴或细流形式，均匀地布撒到芦笋根区的土壤中，省工省肥省水，高产优质高效。</w:t>
      </w:r>
    </w:p>
    <w:p w:rsidR="00B27BDA" w:rsidRDefault="00B27BDA">
      <w:pPr>
        <w:spacing w:line="360" w:lineRule="auto"/>
        <w:rPr>
          <w:rFonts w:ascii="宋体" w:cs="Times New Roman"/>
          <w:b/>
          <w:bCs/>
          <w:color w:val="000000"/>
          <w:sz w:val="24"/>
          <w:szCs w:val="24"/>
        </w:rPr>
      </w:pPr>
      <w:r>
        <w:rPr>
          <w:rFonts w:ascii="宋体" w:hAnsi="宋体" w:cs="宋体" w:hint="eastAsia"/>
          <w:b/>
          <w:bCs/>
          <w:color w:val="000000"/>
          <w:sz w:val="24"/>
          <w:szCs w:val="24"/>
        </w:rPr>
        <w:t>（三）芦笋水肥一体化技术的确立</w:t>
      </w:r>
    </w:p>
    <w:p w:rsidR="00B27BDA" w:rsidRDefault="00B27BDA">
      <w:pPr>
        <w:spacing w:line="360" w:lineRule="auto"/>
        <w:ind w:firstLine="480"/>
        <w:rPr>
          <w:rFonts w:ascii="宋体" w:cs="Times New Roman"/>
          <w:color w:val="000000"/>
          <w:sz w:val="24"/>
          <w:szCs w:val="24"/>
        </w:rPr>
      </w:pPr>
      <w:r>
        <w:rPr>
          <w:rFonts w:ascii="宋体" w:hAnsi="宋体" w:cs="宋体" w:hint="eastAsia"/>
          <w:color w:val="000000"/>
          <w:sz w:val="24"/>
          <w:szCs w:val="24"/>
        </w:rPr>
        <w:t>芦笋水肥一体化技术的应用，是标准起草单位在江西现代农业科研协同创新专项“果菜、芦笋新品种选育及配套安全高效栽培技术研究”、公益性行业科研专项“</w:t>
      </w:r>
      <w:r>
        <w:rPr>
          <w:rFonts w:ascii="宋体" w:hAnsi="宋体" w:cs="宋体" w:hint="eastAsia"/>
          <w:sz w:val="24"/>
          <w:szCs w:val="24"/>
        </w:rPr>
        <w:t>长江中下游芦笋高效生产技术模式研究与示范”、</w:t>
      </w:r>
      <w:r>
        <w:rPr>
          <w:rFonts w:ascii="宋体" w:hAnsi="宋体" w:cs="宋体" w:hint="eastAsia"/>
          <w:color w:val="000000"/>
          <w:sz w:val="24"/>
          <w:szCs w:val="24"/>
        </w:rPr>
        <w:t>南昌市科技支撑计划项目《节水灌溉与肥料施用一体化技术应用模式研究》等项目的研究基础上，参考有关文献资料，结合大量水肥一体化工程实践，综合制定的。芦笋肥料施用技术指标，是根据芦笋标准化种植需肥规律研究结果，结合南昌县、余江等县芦笋基地的实践经验提出的。</w:t>
      </w:r>
    </w:p>
    <w:p w:rsidR="00B27BDA" w:rsidRDefault="00B27BDA">
      <w:pPr>
        <w:spacing w:line="360" w:lineRule="auto"/>
        <w:rPr>
          <w:rFonts w:ascii="宋体" w:cs="Times New Roman"/>
          <w:b/>
          <w:bCs/>
          <w:kern w:val="0"/>
          <w:sz w:val="24"/>
          <w:szCs w:val="24"/>
        </w:rPr>
      </w:pPr>
      <w:r>
        <w:rPr>
          <w:rFonts w:ascii="宋体" w:hAnsi="宋体" w:cs="宋体" w:hint="eastAsia"/>
          <w:b/>
          <w:bCs/>
          <w:kern w:val="0"/>
          <w:sz w:val="24"/>
          <w:szCs w:val="24"/>
        </w:rPr>
        <w:t>三、征求意见及修改情况：</w:t>
      </w:r>
    </w:p>
    <w:p w:rsidR="00B27BDA" w:rsidRDefault="00B27BDA">
      <w:pPr>
        <w:spacing w:line="360" w:lineRule="auto"/>
        <w:ind w:firstLine="480"/>
        <w:rPr>
          <w:rFonts w:ascii="宋体" w:cs="Times New Roman"/>
          <w:color w:val="000000"/>
          <w:sz w:val="24"/>
          <w:szCs w:val="24"/>
        </w:rPr>
      </w:pPr>
      <w:r>
        <w:rPr>
          <w:rFonts w:ascii="宋体" w:hAnsi="宋体" w:cs="宋体" w:hint="eastAsia"/>
          <w:color w:val="000000"/>
          <w:sz w:val="24"/>
          <w:szCs w:val="24"/>
        </w:rPr>
        <w:t>本标准起草过程中，首先是在起草人各单位内部进行了广泛讨论和交流，形成了《芦笋水肥一体化技术规程》初稿。并在南昌县、余江县芦笋种植大户中，听取了生产一线技术管理人员和专家的意见，做了适当的修改和完善，最终形成现在送审的《芦笋水肥一体化技术规程》样稿。</w:t>
      </w:r>
    </w:p>
    <w:p w:rsidR="00B27BDA" w:rsidRDefault="00B27BDA">
      <w:pPr>
        <w:spacing w:line="360" w:lineRule="auto"/>
        <w:ind w:firstLine="480"/>
        <w:rPr>
          <w:rFonts w:ascii="宋体" w:cs="Times New Roman"/>
          <w:color w:val="000000"/>
          <w:sz w:val="24"/>
          <w:szCs w:val="24"/>
        </w:rPr>
      </w:pPr>
    </w:p>
    <w:p w:rsidR="00B27BDA" w:rsidRDefault="00B27BDA">
      <w:pPr>
        <w:spacing w:line="360" w:lineRule="auto"/>
        <w:ind w:firstLine="480"/>
        <w:rPr>
          <w:rFonts w:ascii="宋体" w:cs="Times New Roman"/>
          <w:color w:val="000000"/>
          <w:sz w:val="24"/>
          <w:szCs w:val="24"/>
        </w:rPr>
      </w:pPr>
    </w:p>
    <w:p w:rsidR="00B27BDA" w:rsidRDefault="00B27BDA">
      <w:pPr>
        <w:spacing w:line="360" w:lineRule="auto"/>
        <w:ind w:firstLine="480"/>
        <w:rPr>
          <w:rFonts w:ascii="宋体" w:cs="Times New Roman"/>
          <w:color w:val="000000"/>
          <w:sz w:val="24"/>
          <w:szCs w:val="24"/>
        </w:rPr>
      </w:pPr>
    </w:p>
    <w:p w:rsidR="00B27BDA" w:rsidRDefault="00B27BDA">
      <w:pPr>
        <w:spacing w:line="360" w:lineRule="auto"/>
        <w:ind w:firstLine="480"/>
        <w:jc w:val="right"/>
        <w:rPr>
          <w:rFonts w:ascii="宋体" w:cs="Times New Roman"/>
          <w:b/>
          <w:bCs/>
          <w:color w:val="000000"/>
          <w:sz w:val="24"/>
          <w:szCs w:val="24"/>
        </w:rPr>
      </w:pPr>
      <w:r>
        <w:rPr>
          <w:rFonts w:ascii="宋体" w:hAnsi="宋体" w:cs="宋体" w:hint="eastAsia"/>
          <w:b/>
          <w:bCs/>
          <w:color w:val="000000"/>
          <w:spacing w:val="-20"/>
          <w:sz w:val="24"/>
          <w:szCs w:val="24"/>
        </w:rPr>
        <w:t>《芦笋水肥一体化滴灌技术规程》江西地方标准起草小组</w:t>
      </w:r>
    </w:p>
    <w:p w:rsidR="00B27BDA" w:rsidRDefault="00B27BDA">
      <w:pPr>
        <w:spacing w:line="360" w:lineRule="auto"/>
        <w:ind w:firstLine="480"/>
        <w:jc w:val="center"/>
        <w:rPr>
          <w:rFonts w:ascii="宋体" w:cs="Times New Roman"/>
          <w:b/>
          <w:bCs/>
          <w:color w:val="000000"/>
          <w:sz w:val="24"/>
          <w:szCs w:val="24"/>
        </w:rPr>
      </w:pPr>
      <w:r>
        <w:rPr>
          <w:rFonts w:ascii="宋体" w:hAnsi="宋体" w:cs="宋体"/>
          <w:b/>
          <w:bCs/>
          <w:color w:val="000000"/>
          <w:sz w:val="24"/>
          <w:szCs w:val="24"/>
        </w:rPr>
        <w:t xml:space="preserve">                       2016</w:t>
      </w:r>
      <w:r>
        <w:rPr>
          <w:rFonts w:ascii="宋体" w:hAnsi="宋体" w:cs="宋体" w:hint="eastAsia"/>
          <w:b/>
          <w:bCs/>
          <w:color w:val="000000"/>
          <w:sz w:val="24"/>
          <w:szCs w:val="24"/>
        </w:rPr>
        <w:t>年</w:t>
      </w:r>
      <w:r>
        <w:rPr>
          <w:rFonts w:ascii="宋体" w:hAnsi="宋体" w:cs="宋体"/>
          <w:b/>
          <w:bCs/>
          <w:color w:val="000000"/>
          <w:sz w:val="24"/>
          <w:szCs w:val="24"/>
        </w:rPr>
        <w:t>8</w:t>
      </w:r>
      <w:r>
        <w:rPr>
          <w:rFonts w:ascii="宋体" w:hAnsi="宋体" w:cs="宋体" w:hint="eastAsia"/>
          <w:b/>
          <w:bCs/>
          <w:color w:val="000000"/>
          <w:sz w:val="24"/>
          <w:szCs w:val="24"/>
        </w:rPr>
        <w:t>月</w:t>
      </w:r>
      <w:r>
        <w:rPr>
          <w:rFonts w:ascii="宋体" w:hAnsi="宋体" w:cs="宋体"/>
          <w:b/>
          <w:bCs/>
          <w:color w:val="000000"/>
          <w:sz w:val="24"/>
          <w:szCs w:val="24"/>
        </w:rPr>
        <w:t>3</w:t>
      </w:r>
      <w:r>
        <w:rPr>
          <w:rFonts w:ascii="宋体" w:hAnsi="宋体" w:cs="宋体" w:hint="eastAsia"/>
          <w:b/>
          <w:bCs/>
          <w:color w:val="000000"/>
          <w:sz w:val="24"/>
          <w:szCs w:val="24"/>
        </w:rPr>
        <w:t>日</w:t>
      </w:r>
    </w:p>
    <w:sectPr w:rsidR="00B27BDA" w:rsidSect="00356D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30FD2"/>
    <w:multiLevelType w:val="singleLevel"/>
    <w:tmpl w:val="57A30FD2"/>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1326A28"/>
    <w:rsid w:val="00356D94"/>
    <w:rsid w:val="00394A06"/>
    <w:rsid w:val="00B27BDA"/>
    <w:rsid w:val="00C4637C"/>
    <w:rsid w:val="00FD32F4"/>
    <w:rsid w:val="0407374E"/>
    <w:rsid w:val="04F56B9C"/>
    <w:rsid w:val="3C820417"/>
    <w:rsid w:val="427225B6"/>
    <w:rsid w:val="5DF221D9"/>
    <w:rsid w:val="61326A28"/>
    <w:rsid w:val="65DE06D6"/>
    <w:rsid w:val="6BCE0091"/>
    <w:rsid w:val="73420C1E"/>
    <w:rsid w:val="791C50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94"/>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356D94"/>
    <w:rPr>
      <w:color w:val="800080"/>
      <w:u w:val="none"/>
    </w:rPr>
  </w:style>
  <w:style w:type="character" w:styleId="Hyperlink">
    <w:name w:val="Hyperlink"/>
    <w:basedOn w:val="DefaultParagraphFont"/>
    <w:uiPriority w:val="99"/>
    <w:rsid w:val="00356D94"/>
    <w:rPr>
      <w:color w:val="0000FF"/>
      <w:u w:val="none"/>
    </w:rPr>
  </w:style>
  <w:style w:type="paragraph" w:customStyle="1" w:styleId="a">
    <w:name w:val="段"/>
    <w:uiPriority w:val="99"/>
    <w:rsid w:val="00356D94"/>
    <w:pPr>
      <w:tabs>
        <w:tab w:val="center" w:pos="4201"/>
        <w:tab w:val="right" w:leader="dot" w:pos="9298"/>
      </w:tabs>
      <w:autoSpaceDE w:val="0"/>
      <w:autoSpaceDN w:val="0"/>
      <w:ind w:firstLineChars="200" w:firstLine="420"/>
      <w:jc w:val="both"/>
    </w:pPr>
    <w:rPr>
      <w:rFonts w:ascii="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9691975" TargetMode="External"/><Relationship Id="rId3" Type="http://schemas.openxmlformats.org/officeDocument/2006/relationships/settings" Target="settings.xml"/><Relationship Id="rId7" Type="http://schemas.openxmlformats.org/officeDocument/2006/relationships/hyperlink" Target="http://baike.sogou.com/lemma/ShowInnerLink.htm?lemmaId=57466290&amp;ss_c=ssc.citiao.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sogou.com/lemma/ShowInnerLink.htm?lemmaId=443420" TargetMode="External"/><Relationship Id="rId5" Type="http://schemas.openxmlformats.org/officeDocument/2006/relationships/hyperlink" Target="http://baike.sogou.com/lemma/ShowInnerLink.htm?lemmaId=77346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380</Words>
  <Characters>2166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方荣</cp:lastModifiedBy>
  <cp:revision>2</cp:revision>
  <dcterms:created xsi:type="dcterms:W3CDTF">2016-08-02T12:50:00Z</dcterms:created>
  <dcterms:modified xsi:type="dcterms:W3CDTF">2017-03-13T03:33:00Z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