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5D" w:rsidRPr="00B7303E" w:rsidRDefault="003F149F" w:rsidP="003F149F">
      <w:pPr>
        <w:jc w:val="center"/>
        <w:rPr>
          <w:rFonts w:ascii="黑体" w:eastAsia="黑体" w:hAnsi="黑体"/>
          <w:sz w:val="36"/>
          <w:szCs w:val="36"/>
        </w:rPr>
      </w:pPr>
      <w:r w:rsidRPr="00B7303E">
        <w:rPr>
          <w:rFonts w:ascii="黑体" w:eastAsia="黑体" w:hAnsi="黑体" w:hint="eastAsia"/>
          <w:sz w:val="36"/>
          <w:szCs w:val="36"/>
        </w:rPr>
        <w:t>《开放式循环木质平托盘技术规范》江西省地方标准编制说明</w:t>
      </w:r>
    </w:p>
    <w:p w:rsidR="003F149F" w:rsidRDefault="003F149F" w:rsidP="003F149F">
      <w:pPr>
        <w:ind w:firstLine="72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3F149F" w:rsidRPr="003F149F" w:rsidRDefault="003F149F" w:rsidP="004273C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F149F">
        <w:rPr>
          <w:rFonts w:ascii="黑体" w:eastAsia="黑体" w:hAnsi="黑体" w:hint="eastAsia"/>
          <w:sz w:val="32"/>
          <w:szCs w:val="32"/>
        </w:rPr>
        <w:t>一、制定标准任务的提出：</w:t>
      </w:r>
    </w:p>
    <w:p w:rsidR="003F149F" w:rsidRDefault="003F149F" w:rsidP="004273C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根据江西省商务</w:t>
      </w:r>
      <w:r w:rsidRPr="005F7F4B">
        <w:rPr>
          <w:rFonts w:ascii="仿宋_GB2312" w:eastAsia="仿宋_GB2312" w:hint="eastAsia"/>
          <w:sz w:val="32"/>
          <w:szCs w:val="32"/>
        </w:rPr>
        <w:t>厅印发的《关于转发&lt;关于2016年开展物流标准化试点工作的通知&gt;的通知》（赣商务服务业字〔2016〕236号）要求,“以标准托盘（1200×1000mm）及其循环共用为切入点，带动上下游物流设施设备和包装标准化水平提升”和“标准化主管部门负责地方标准制定和标准实施的指导工作”。物流标准化试点项目</w:t>
      </w:r>
      <w:r>
        <w:rPr>
          <w:rFonts w:ascii="仿宋_GB2312" w:eastAsia="仿宋_GB2312" w:hint="eastAsia"/>
          <w:sz w:val="32"/>
          <w:szCs w:val="32"/>
        </w:rPr>
        <w:t>进展至今</w:t>
      </w:r>
      <w:r w:rsidRPr="005F7F4B">
        <w:rPr>
          <w:rFonts w:ascii="仿宋_GB2312" w:eastAsia="仿宋_GB2312" w:hint="eastAsia"/>
          <w:sz w:val="32"/>
          <w:szCs w:val="32"/>
        </w:rPr>
        <w:t>，江西省物流与采购联合会在调研和指导试点企业开展标准化</w:t>
      </w:r>
      <w:r>
        <w:rPr>
          <w:rFonts w:ascii="仿宋_GB2312" w:eastAsia="仿宋_GB2312" w:hint="eastAsia"/>
          <w:sz w:val="32"/>
          <w:szCs w:val="32"/>
        </w:rPr>
        <w:t>项目建设时，试点企业</w:t>
      </w:r>
      <w:r w:rsidRPr="005F7F4B">
        <w:rPr>
          <w:rFonts w:ascii="仿宋_GB2312" w:eastAsia="仿宋_GB2312" w:hint="eastAsia"/>
          <w:sz w:val="32"/>
          <w:szCs w:val="32"/>
        </w:rPr>
        <w:t>对标准托盘的认识限于托盘</w:t>
      </w:r>
      <w:r>
        <w:rPr>
          <w:rFonts w:ascii="仿宋_GB2312" w:eastAsia="仿宋_GB2312" w:hint="eastAsia"/>
          <w:sz w:val="32"/>
          <w:szCs w:val="32"/>
        </w:rPr>
        <w:t>整体</w:t>
      </w:r>
      <w:r w:rsidRPr="005F7F4B">
        <w:rPr>
          <w:rFonts w:ascii="仿宋_GB2312" w:eastAsia="仿宋_GB2312" w:hint="eastAsia"/>
          <w:sz w:val="32"/>
          <w:szCs w:val="32"/>
        </w:rPr>
        <w:t>尺寸</w:t>
      </w:r>
      <w:r>
        <w:rPr>
          <w:rFonts w:ascii="仿宋_GB2312" w:eastAsia="仿宋_GB2312" w:hint="eastAsia"/>
          <w:sz w:val="32"/>
          <w:szCs w:val="32"/>
        </w:rPr>
        <w:t>1200</w:t>
      </w:r>
      <w:r w:rsidRPr="005F7F4B">
        <w:rPr>
          <w:rFonts w:ascii="仿宋_GB2312" w:eastAsia="仿宋_GB2312" w:hint="eastAsia"/>
          <w:sz w:val="32"/>
          <w:szCs w:val="32"/>
        </w:rPr>
        <w:t>×1</w:t>
      </w:r>
      <w:r>
        <w:rPr>
          <w:rFonts w:ascii="仿宋_GB2312" w:eastAsia="仿宋_GB2312" w:hint="eastAsia"/>
          <w:sz w:val="32"/>
          <w:szCs w:val="32"/>
        </w:rPr>
        <w:t>000m</w:t>
      </w:r>
      <w:r w:rsidRPr="005F7F4B">
        <w:rPr>
          <w:rFonts w:ascii="仿宋_GB2312" w:eastAsia="仿宋_GB2312" w:hint="eastAsia"/>
          <w:sz w:val="32"/>
          <w:szCs w:val="32"/>
        </w:rPr>
        <w:t>m（《联运通用平托盘主要尺寸及公差》（GB/T 2934-2007）），对托盘</w:t>
      </w:r>
      <w:r>
        <w:rPr>
          <w:rFonts w:ascii="仿宋_GB2312" w:eastAsia="仿宋_GB2312" w:hint="eastAsia"/>
          <w:sz w:val="32"/>
          <w:szCs w:val="32"/>
        </w:rPr>
        <w:t>部件尺寸、</w:t>
      </w:r>
      <w:r w:rsidRPr="005F7F4B">
        <w:rPr>
          <w:rFonts w:ascii="仿宋_GB2312" w:eastAsia="仿宋_GB2312" w:hint="eastAsia"/>
          <w:sz w:val="32"/>
          <w:szCs w:val="32"/>
        </w:rPr>
        <w:t>结构</w:t>
      </w:r>
      <w:r>
        <w:rPr>
          <w:rFonts w:ascii="仿宋_GB2312" w:eastAsia="仿宋_GB2312" w:hint="eastAsia"/>
          <w:sz w:val="32"/>
          <w:szCs w:val="32"/>
        </w:rPr>
        <w:t>和</w:t>
      </w:r>
      <w:r w:rsidRPr="005F7F4B">
        <w:rPr>
          <w:rFonts w:ascii="仿宋_GB2312" w:eastAsia="仿宋_GB2312" w:hint="eastAsia"/>
          <w:sz w:val="32"/>
          <w:szCs w:val="32"/>
        </w:rPr>
        <w:t>材质等要求都</w:t>
      </w:r>
      <w:r>
        <w:rPr>
          <w:rFonts w:ascii="仿宋_GB2312" w:eastAsia="仿宋_GB2312" w:hint="eastAsia"/>
          <w:sz w:val="32"/>
          <w:szCs w:val="32"/>
        </w:rPr>
        <w:t>缺乏</w:t>
      </w:r>
      <w:r w:rsidRPr="005F7F4B">
        <w:rPr>
          <w:rFonts w:ascii="仿宋_GB2312" w:eastAsia="仿宋_GB2312" w:hint="eastAsia"/>
          <w:sz w:val="32"/>
          <w:szCs w:val="32"/>
        </w:rPr>
        <w:t>了解，导致生产的托盘质量和</w:t>
      </w:r>
      <w:r>
        <w:rPr>
          <w:rFonts w:ascii="仿宋_GB2312" w:eastAsia="仿宋_GB2312" w:hint="eastAsia"/>
          <w:sz w:val="32"/>
          <w:szCs w:val="32"/>
        </w:rPr>
        <w:t>结构标准不一</w:t>
      </w:r>
      <w:r w:rsidRPr="005F7F4B">
        <w:rPr>
          <w:rFonts w:ascii="仿宋_GB2312" w:eastAsia="仿宋_GB2312" w:hint="eastAsia"/>
          <w:sz w:val="32"/>
          <w:szCs w:val="32"/>
        </w:rPr>
        <w:t>，托盘循环共用</w:t>
      </w:r>
      <w:r>
        <w:rPr>
          <w:rFonts w:ascii="仿宋_GB2312" w:eastAsia="仿宋_GB2312" w:hint="eastAsia"/>
          <w:sz w:val="32"/>
          <w:szCs w:val="32"/>
        </w:rPr>
        <w:t>体系难以搭建</w:t>
      </w:r>
      <w:r w:rsidRPr="005F7F4B">
        <w:rPr>
          <w:rFonts w:ascii="仿宋_GB2312" w:eastAsia="仿宋_GB2312" w:hint="eastAsia"/>
          <w:sz w:val="32"/>
          <w:szCs w:val="32"/>
        </w:rPr>
        <w:t>。</w:t>
      </w:r>
    </w:p>
    <w:p w:rsidR="003F149F" w:rsidRDefault="003F149F" w:rsidP="004273C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F7F4B">
        <w:rPr>
          <w:rFonts w:ascii="仿宋_GB2312" w:eastAsia="仿宋_GB2312" w:hint="eastAsia"/>
          <w:sz w:val="32"/>
          <w:szCs w:val="32"/>
        </w:rPr>
        <w:t>为规范标准托盘的生产及循环流通，实现托盘循环共用，对循环共用平托盘的材质、结构、高度、载荷和性能等进行规范，</w:t>
      </w:r>
      <w:r>
        <w:rPr>
          <w:rFonts w:ascii="仿宋_GB2312" w:eastAsia="仿宋_GB2312" w:hint="eastAsia"/>
          <w:sz w:val="32"/>
          <w:szCs w:val="32"/>
        </w:rPr>
        <w:t>助力江西省托盘循环共用体系建设</w:t>
      </w:r>
      <w:r w:rsidR="00751308">
        <w:rPr>
          <w:rFonts w:ascii="仿宋_GB2312" w:eastAsia="仿宋_GB2312" w:hint="eastAsia"/>
          <w:sz w:val="32"/>
          <w:szCs w:val="32"/>
        </w:rPr>
        <w:t xml:space="preserve">，现提出《开放式循环木质平托盘技术规范》地方标准建设项目。 </w:t>
      </w:r>
    </w:p>
    <w:p w:rsidR="00751308" w:rsidRDefault="00751308" w:rsidP="004273C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51308">
        <w:rPr>
          <w:rFonts w:ascii="黑体" w:eastAsia="黑体" w:hAnsi="黑体" w:hint="eastAsia"/>
          <w:sz w:val="32"/>
          <w:szCs w:val="32"/>
        </w:rPr>
        <w:t>二、制定标准的必要性</w:t>
      </w:r>
    </w:p>
    <w:p w:rsidR="00751308" w:rsidRPr="00751308" w:rsidRDefault="00751308" w:rsidP="004273C8">
      <w:pPr>
        <w:spacing w:line="360" w:lineRule="auto"/>
        <w:ind w:firstLineChars="200" w:firstLine="640"/>
        <w:rPr>
          <w:rFonts w:ascii="Calibri" w:eastAsia="仿宋_GB2312" w:hAnsi="Calibri" w:cs="Times New Roman"/>
          <w:color w:val="000000"/>
          <w:sz w:val="32"/>
        </w:rPr>
      </w:pPr>
      <w:r w:rsidRPr="00751308">
        <w:rPr>
          <w:rFonts w:ascii="Calibri" w:eastAsia="仿宋_GB2312" w:hAnsi="Calibri" w:cs="Times New Roman" w:hint="eastAsia"/>
          <w:color w:val="000000"/>
          <w:sz w:val="32"/>
        </w:rPr>
        <w:t>物流业标准化是保障物流运作安全便利、高效畅通的重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lastRenderedPageBreak/>
        <w:t>要手段，也是提高物流服务水平，降低物流成本，促进区域物流业健康发展，增强区域竞争力的重要“助推器”。随着我省物流业标准化的快速、持续发展，我省的物流业标准化工作现状已经满足不了物流业大发展需求，尤其是托盘标准。标准化实施以来，试点企业对标准托盘的认识限于托盘整体尺寸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1200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×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1000mm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（《联运通用平托盘主要尺寸及公差》（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GB/T 2934-2007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）），对托盘结构、尺寸、材质和承载能力等要求都缺乏了解，导致生产的托盘质量和结构</w:t>
      </w:r>
      <w:r w:rsidR="00CD1575">
        <w:rPr>
          <w:rFonts w:ascii="Calibri" w:eastAsia="仿宋_GB2312" w:hAnsi="Calibri" w:cs="Times New Roman" w:hint="eastAsia"/>
          <w:color w:val="000000"/>
          <w:sz w:val="32"/>
        </w:rPr>
        <w:t>标准不一，托盘循环共用体系难以建成。而托盘循环共用是物流标准化极</w:t>
      </w:r>
      <w:r w:rsidRPr="00751308">
        <w:rPr>
          <w:rFonts w:ascii="Calibri" w:eastAsia="仿宋_GB2312" w:hAnsi="Calibri" w:cs="Times New Roman" w:hint="eastAsia"/>
          <w:color w:val="000000"/>
          <w:sz w:val="32"/>
        </w:rPr>
        <w:t>其重要的一环，直接影响我省物流标准化建设效果。</w:t>
      </w:r>
    </w:p>
    <w:p w:rsidR="00751308" w:rsidRPr="00751308" w:rsidRDefault="00751308" w:rsidP="004273C8">
      <w:pPr>
        <w:spacing w:line="360" w:lineRule="auto"/>
        <w:ind w:firstLineChars="200" w:firstLine="640"/>
        <w:rPr>
          <w:rFonts w:ascii="Calibri" w:eastAsia="仿宋_GB2312" w:hAnsi="Calibri" w:cs="Times New Roman"/>
          <w:color w:val="000000"/>
          <w:sz w:val="32"/>
        </w:rPr>
      </w:pPr>
      <w:r w:rsidRPr="00751308">
        <w:rPr>
          <w:rFonts w:ascii="Calibri" w:eastAsia="仿宋_GB2312" w:hAnsi="Calibri" w:cs="Times New Roman" w:hint="eastAsia"/>
          <w:color w:val="000000"/>
          <w:sz w:val="32"/>
        </w:rPr>
        <w:t>为推动我省物流行业的标准化发展，尽快建立和完善我省标准托盘地方标准体系，助力物流标准化试点项目，引导我省物流企业加快推进标准化建设，降本增效，提高服务质量，必须制定江西省开放式循环木质托盘地方标准。</w:t>
      </w:r>
    </w:p>
    <w:p w:rsidR="00751308" w:rsidRDefault="00751308" w:rsidP="004273C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三、标准的起草过程</w:t>
      </w:r>
    </w:p>
    <w:p w:rsidR="00751308" w:rsidRPr="00751308" w:rsidRDefault="00751308" w:rsidP="004273C8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《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开放式循环木质平托盘技术规范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》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地方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标准制订工作，始于</w:t>
      </w:r>
      <w:r w:rsidR="007E403E">
        <w:rPr>
          <w:rFonts w:ascii="仿宋_GB2312" w:eastAsia="仿宋_GB2312" w:hAnsi="宋体" w:cs="Times New Roman" w:hint="eastAsia"/>
          <w:color w:val="000000"/>
          <w:sz w:val="32"/>
          <w:szCs w:val="24"/>
        </w:rPr>
        <w:t>2017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年</w:t>
      </w:r>
      <w:r w:rsidR="00AC0130">
        <w:rPr>
          <w:rFonts w:ascii="仿宋_GB2312" w:eastAsia="仿宋_GB2312" w:hAnsi="宋体" w:cs="Times New Roman" w:hint="eastAsia"/>
          <w:color w:val="000000"/>
          <w:sz w:val="32"/>
          <w:szCs w:val="24"/>
        </w:rPr>
        <w:t>7</w:t>
      </w:r>
      <w:r w:rsidRPr="00751308">
        <w:rPr>
          <w:rFonts w:ascii="仿宋_GB2312" w:eastAsia="仿宋_GB2312" w:hAnsi="宋体" w:cs="Times New Roman" w:hint="eastAsia"/>
          <w:color w:val="000000"/>
          <w:sz w:val="32"/>
          <w:szCs w:val="24"/>
        </w:rPr>
        <w:t>月份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，征求各部门、企业</w:t>
      </w:r>
      <w:r w:rsidRPr="00751308">
        <w:rPr>
          <w:rFonts w:ascii="仿宋_GB2312" w:eastAsia="仿宋_GB2312" w:hAnsi="宋体" w:cs="Times New Roman" w:hint="eastAsia"/>
          <w:color w:val="000000"/>
          <w:sz w:val="32"/>
          <w:szCs w:val="24"/>
        </w:rPr>
        <w:t>和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专家意见，经反复讨论修改后形成</w:t>
      </w:r>
      <w:r w:rsidR="00384F97">
        <w:rPr>
          <w:rFonts w:ascii="仿宋_GB2312" w:eastAsia="仿宋_GB2312" w:hAnsi="宋体" w:cs="Times New Roman" w:hint="eastAsia"/>
          <w:color w:val="000000"/>
          <w:sz w:val="32"/>
          <w:szCs w:val="24"/>
        </w:rPr>
        <w:t>技术规范</w:t>
      </w:r>
      <w:r w:rsidR="00B675D8">
        <w:rPr>
          <w:rFonts w:ascii="仿宋_GB2312" w:eastAsia="仿宋_GB2312" w:hAnsi="宋体" w:cs="Times New Roman" w:hint="eastAsia"/>
          <w:color w:val="000000"/>
          <w:sz w:val="32"/>
          <w:szCs w:val="24"/>
        </w:rPr>
        <w:t>征求意见稿</w:t>
      </w:r>
      <w:r w:rsidRPr="00751308">
        <w:rPr>
          <w:rFonts w:ascii="仿宋_GB2312" w:eastAsia="仿宋_GB2312" w:hAnsi="宋体" w:cs="Times New Roman" w:hint="eastAsia"/>
          <w:color w:val="000000"/>
          <w:sz w:val="32"/>
          <w:szCs w:val="24"/>
        </w:rPr>
        <w:t>。根据各部门反馈的意见，经汇总、归纳，对</w:t>
      </w:r>
      <w:r w:rsidR="00B675D8">
        <w:rPr>
          <w:rFonts w:ascii="仿宋_GB2312" w:eastAsia="仿宋_GB2312" w:hAnsi="宋体" w:cs="Times New Roman" w:hint="eastAsia"/>
          <w:color w:val="000000"/>
          <w:sz w:val="32"/>
          <w:szCs w:val="24"/>
        </w:rPr>
        <w:t>征求意见稿</w:t>
      </w:r>
      <w:r w:rsidRPr="00751308">
        <w:rPr>
          <w:rFonts w:ascii="仿宋_GB2312" w:eastAsia="仿宋_GB2312" w:hAnsi="宋体" w:cs="Times New Roman" w:hint="eastAsia"/>
          <w:color w:val="000000"/>
          <w:sz w:val="32"/>
          <w:szCs w:val="24"/>
        </w:rPr>
        <w:t>进行修改完善，形成送审稿，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使</w:t>
      </w:r>
      <w:r w:rsidRPr="00751308">
        <w:rPr>
          <w:rFonts w:ascii="仿宋_GB2312" w:eastAsia="仿宋_GB2312" w:hAnsi="宋体" w:cs="Times New Roman" w:hint="eastAsia"/>
          <w:color w:val="000000"/>
          <w:sz w:val="32"/>
          <w:szCs w:val="24"/>
        </w:rPr>
        <w:t>规范</w:t>
      </w:r>
      <w:r w:rsidRPr="00751308">
        <w:rPr>
          <w:rFonts w:ascii="仿宋_GB2312" w:eastAsia="仿宋_GB2312" w:hAnsi="宋体" w:cs="Times New Roman"/>
          <w:color w:val="000000"/>
          <w:sz w:val="32"/>
          <w:szCs w:val="24"/>
        </w:rPr>
        <w:t>的内容和形式更为科学规范。</w:t>
      </w:r>
    </w:p>
    <w:p w:rsidR="00751308" w:rsidRDefault="004273C8" w:rsidP="004273C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四、制定标准的依据</w:t>
      </w:r>
    </w:p>
    <w:p w:rsidR="004273C8" w:rsidRPr="004273C8" w:rsidRDefault="004273C8" w:rsidP="004273C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本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技术规范</w:t>
      </w:r>
      <w:r w:rsidRPr="004273C8">
        <w:rPr>
          <w:rFonts w:ascii="仿宋_GB2312" w:eastAsia="仿宋_GB2312" w:hAnsi="宋体" w:cs="Times New Roman"/>
          <w:color w:val="000000"/>
          <w:sz w:val="32"/>
          <w:szCs w:val="24"/>
        </w:rPr>
        <w:t>主要根据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中华人民共和国国家标准</w:t>
      </w:r>
      <w:r w:rsidRPr="004273C8">
        <w:rPr>
          <w:rFonts w:ascii="仿宋_GB2312" w:eastAsia="仿宋_GB2312" w:hAnsi="宋体" w:cs="Times New Roman"/>
          <w:color w:val="000000"/>
          <w:sz w:val="32"/>
          <w:szCs w:val="24"/>
        </w:rPr>
        <w:t>《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联运通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lastRenderedPageBreak/>
        <w:t>用平托盘木质平托盘</w:t>
      </w:r>
      <w:r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》</w:t>
      </w:r>
      <w:r w:rsidRPr="004273C8">
        <w:rPr>
          <w:rFonts w:ascii="仿宋_GB2312" w:eastAsia="仿宋_GB2312" w:hAnsi="宋体" w:cs="Times New Roman"/>
          <w:color w:val="000000"/>
          <w:sz w:val="32"/>
          <w:szCs w:val="24"/>
        </w:rPr>
        <w:t>的要求，根据</w:t>
      </w:r>
      <w:r w:rsidR="006F0CF2">
        <w:rPr>
          <w:rFonts w:ascii="仿宋_GB2312" w:eastAsia="仿宋_GB2312" w:hAnsi="宋体" w:cs="Times New Roman" w:hint="eastAsia"/>
          <w:color w:val="000000"/>
          <w:sz w:val="32"/>
          <w:szCs w:val="24"/>
        </w:rPr>
        <w:t>江西省物流</w:t>
      </w:r>
      <w:r w:rsidR="00904B90">
        <w:rPr>
          <w:rFonts w:ascii="仿宋_GB2312" w:eastAsia="仿宋_GB2312" w:hAnsi="宋体" w:cs="Times New Roman" w:hint="eastAsia"/>
          <w:color w:val="000000"/>
          <w:sz w:val="32"/>
          <w:szCs w:val="24"/>
        </w:rPr>
        <w:t>业实际情况及木质平托盘</w:t>
      </w:r>
      <w:r w:rsidR="006F0CF2">
        <w:rPr>
          <w:rFonts w:ascii="仿宋_GB2312" w:eastAsia="仿宋_GB2312" w:hAnsi="宋体" w:cs="Times New Roman" w:hint="eastAsia"/>
          <w:color w:val="000000"/>
          <w:sz w:val="32"/>
          <w:szCs w:val="24"/>
        </w:rPr>
        <w:t>相关标准</w:t>
      </w:r>
      <w:r w:rsidRPr="004273C8">
        <w:rPr>
          <w:rFonts w:ascii="仿宋_GB2312" w:eastAsia="仿宋_GB2312" w:hAnsi="宋体" w:cs="Times New Roman"/>
          <w:color w:val="000000"/>
          <w:sz w:val="32"/>
          <w:szCs w:val="24"/>
        </w:rPr>
        <w:t>制定了</w:t>
      </w:r>
      <w:r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本</w:t>
      </w:r>
      <w:r w:rsidR="006F0CF2">
        <w:rPr>
          <w:rFonts w:ascii="仿宋_GB2312" w:eastAsia="仿宋_GB2312" w:hAnsi="宋体" w:cs="Times New Roman" w:hint="eastAsia"/>
          <w:color w:val="000000"/>
          <w:sz w:val="32"/>
          <w:szCs w:val="24"/>
        </w:rPr>
        <w:t>技术规范</w:t>
      </w:r>
      <w:r w:rsidRPr="004273C8">
        <w:rPr>
          <w:rFonts w:ascii="仿宋_GB2312" w:eastAsia="仿宋_GB2312" w:hAnsi="宋体" w:cs="Times New Roman"/>
          <w:color w:val="000000"/>
          <w:sz w:val="32"/>
          <w:szCs w:val="24"/>
        </w:rPr>
        <w:t>。</w:t>
      </w:r>
    </w:p>
    <w:p w:rsidR="004273C8" w:rsidRDefault="00904B90" w:rsidP="004273C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技术规范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制</w:t>
      </w:r>
      <w:r w:rsidR="004273C8" w:rsidRPr="004273C8">
        <w:rPr>
          <w:rFonts w:ascii="仿宋_GB2312" w:eastAsia="仿宋_GB2312" w:hAnsi="宋体" w:cs="Times New Roman"/>
          <w:color w:val="000000"/>
          <w:sz w:val="32"/>
          <w:szCs w:val="24"/>
        </w:rPr>
        <w:t>定的基本原则主要有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两</w:t>
      </w:r>
      <w:r w:rsidR="004273C8" w:rsidRPr="004273C8">
        <w:rPr>
          <w:rFonts w:ascii="仿宋_GB2312" w:eastAsia="仿宋_GB2312" w:hAnsi="宋体" w:cs="Times New Roman"/>
          <w:color w:val="000000"/>
          <w:sz w:val="32"/>
          <w:szCs w:val="24"/>
        </w:rPr>
        <w:t>条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。</w:t>
      </w:r>
      <w:r w:rsidR="004273C8" w:rsidRPr="004273C8">
        <w:rPr>
          <w:rFonts w:ascii="仿宋_GB2312" w:eastAsia="仿宋_GB2312" w:hAnsi="宋体" w:cs="Times New Roman"/>
          <w:color w:val="000000"/>
          <w:sz w:val="32"/>
          <w:szCs w:val="24"/>
        </w:rPr>
        <w:t>一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是坚持先进性、科学性和可操作性的协调统一。即编制出的标准要具有国内先进水平，确保能促进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江西省物流业开放式循环木质平托盘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标准化和规范化，保证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江西省开放式循环木质平托盘符合国家标准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；指标的确定要有科学依据，标准的技术内容应符合</w:t>
      </w: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江西省物流业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实际情况，且简便易行，以利于贯彻执行。二坚持高标准、严要求。在编写过程中，我们采取了严肃认真的，注意反复推敲和斟酌，并广泛征求各方面专家意见。同</w:t>
      </w:r>
      <w:r w:rsidR="004273C8" w:rsidRPr="004273C8">
        <w:rPr>
          <w:rFonts w:ascii="仿宋_GB2312" w:eastAsia="仿宋_GB2312" w:hAnsi="宋体" w:cs="Times New Roman"/>
          <w:color w:val="000000"/>
          <w:sz w:val="32"/>
          <w:szCs w:val="24"/>
        </w:rPr>
        <w:t>时，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严格按照《</w:t>
      </w:r>
      <w:r w:rsidR="006F0CF2">
        <w:rPr>
          <w:rFonts w:ascii="仿宋_GB2312" w:eastAsia="仿宋_GB2312" w:hAnsi="宋体" w:cs="Times New Roman" w:hint="eastAsia"/>
          <w:color w:val="000000"/>
          <w:sz w:val="32"/>
          <w:szCs w:val="24"/>
        </w:rPr>
        <w:t>江西省标准化管理条例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》、《</w:t>
      </w:r>
      <w:r w:rsidR="006F0CF2">
        <w:rPr>
          <w:rFonts w:ascii="仿宋_GB2312" w:eastAsia="仿宋_GB2312" w:hAnsi="宋体" w:cs="Times New Roman" w:hint="eastAsia"/>
          <w:color w:val="000000"/>
          <w:sz w:val="32"/>
          <w:szCs w:val="24"/>
        </w:rPr>
        <w:t>地方标准管理办法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》等有关规定开</w:t>
      </w:r>
      <w:r w:rsidR="004273C8" w:rsidRPr="004273C8">
        <w:rPr>
          <w:rFonts w:ascii="仿宋_GB2312" w:eastAsia="仿宋_GB2312" w:hAnsi="宋体" w:cs="Times New Roman"/>
          <w:color w:val="000000"/>
          <w:sz w:val="32"/>
          <w:szCs w:val="24"/>
        </w:rPr>
        <w:t>展起草工作</w:t>
      </w:r>
      <w:r w:rsidR="004273C8" w:rsidRPr="004273C8">
        <w:rPr>
          <w:rFonts w:ascii="仿宋_GB2312" w:eastAsia="仿宋_GB2312" w:hAnsi="宋体" w:cs="Times New Roman" w:hint="eastAsia"/>
          <w:color w:val="000000"/>
          <w:sz w:val="32"/>
          <w:szCs w:val="24"/>
        </w:rPr>
        <w:t>。</w:t>
      </w:r>
    </w:p>
    <w:p w:rsidR="004660CA" w:rsidRPr="004273C8" w:rsidRDefault="004660CA" w:rsidP="004273C8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24"/>
        </w:rPr>
      </w:pPr>
      <w:r w:rsidRPr="004660CA">
        <w:rPr>
          <w:rFonts w:ascii="黑体" w:eastAsia="黑体" w:hAnsi="黑体" w:cs="Times New Roman" w:hint="eastAsia"/>
          <w:color w:val="000000"/>
          <w:sz w:val="32"/>
          <w:szCs w:val="24"/>
        </w:rPr>
        <w:t>五、标准主要内容的说明</w:t>
      </w:r>
    </w:p>
    <w:p w:rsidR="004273C8" w:rsidRDefault="00C03329" w:rsidP="00C0332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（一）适用范围</w:t>
      </w:r>
    </w:p>
    <w:p w:rsidR="00C03329" w:rsidRPr="00C03329" w:rsidRDefault="00C03329" w:rsidP="00C03329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本</w:t>
      </w:r>
      <w:r w:rsidR="00384F97">
        <w:rPr>
          <w:rFonts w:ascii="仿宋_GB2312" w:eastAsia="仿宋_GB2312" w:hAnsi="宋体" w:cs="Times New Roman" w:hint="eastAsia"/>
          <w:color w:val="000000"/>
          <w:sz w:val="32"/>
          <w:szCs w:val="24"/>
        </w:rPr>
        <w:t>规范</w:t>
      </w:r>
      <w:r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规定了江西省开放式循环木质平托盘的</w:t>
      </w:r>
      <w:r w:rsidR="009C76A7">
        <w:rPr>
          <w:rFonts w:ascii="仿宋_GB2312" w:eastAsia="仿宋_GB2312" w:hAnsi="宋体" w:cs="Times New Roman" w:hint="eastAsia"/>
          <w:color w:val="000000"/>
          <w:sz w:val="32"/>
          <w:szCs w:val="24"/>
        </w:rPr>
        <w:t>结构、材质、尺寸、样式、要求</w:t>
      </w:r>
      <w:r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。</w:t>
      </w:r>
    </w:p>
    <w:p w:rsidR="00C03329" w:rsidRDefault="00C03329" w:rsidP="00C03329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本</w:t>
      </w:r>
      <w:r w:rsidR="00384F97">
        <w:rPr>
          <w:rFonts w:ascii="仿宋_GB2312" w:eastAsia="仿宋_GB2312" w:hAnsi="宋体" w:cs="Times New Roman" w:hint="eastAsia"/>
          <w:color w:val="000000"/>
          <w:sz w:val="32"/>
          <w:szCs w:val="24"/>
        </w:rPr>
        <w:t>规范</w:t>
      </w:r>
      <w:r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适用于江西省物流相关企业中反复使用的木质平托盘。</w:t>
      </w:r>
    </w:p>
    <w:p w:rsidR="00C03329" w:rsidRPr="00C03329" w:rsidRDefault="00C03329" w:rsidP="00C03329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24"/>
        </w:rPr>
      </w:pPr>
      <w:r w:rsidRPr="00C03329">
        <w:rPr>
          <w:rFonts w:ascii="黑体" w:eastAsia="黑体" w:hAnsi="黑体" w:cs="Times New Roman" w:hint="eastAsia"/>
          <w:color w:val="000000"/>
          <w:sz w:val="32"/>
          <w:szCs w:val="24"/>
        </w:rPr>
        <w:t>（二）样式</w:t>
      </w:r>
    </w:p>
    <w:p w:rsidR="00C03329" w:rsidRDefault="00384F97" w:rsidP="00C03329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1.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川字A型：</w:t>
      </w:r>
      <w:r w:rsidR="00C03329"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托盘平面尺寸为1200mm×1000mm、单面使用、紧密对接边板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，</w:t>
      </w:r>
      <w:r w:rsidR="00C03329"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纵梁式两面进叉木质平托盘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；</w:t>
      </w:r>
    </w:p>
    <w:p w:rsidR="00C03329" w:rsidRDefault="00384F97" w:rsidP="00C03329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t>2.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川字B型：</w:t>
      </w:r>
      <w:r w:rsidR="00C03329"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托盘平面尺寸为1200mm×1000mm、单面使用、紧密对接边板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，</w:t>
      </w:r>
      <w:r w:rsidR="00C03329"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九脚墩式四面进叉木质平托盘</w:t>
      </w:r>
      <w:r w:rsid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;</w:t>
      </w:r>
    </w:p>
    <w:p w:rsidR="00C03329" w:rsidRDefault="00384F97" w:rsidP="00C03329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24"/>
        </w:rPr>
        <w:lastRenderedPageBreak/>
        <w:t>3.</w:t>
      </w:r>
      <w:r w:rsidR="00C03329" w:rsidRPr="00C03329">
        <w:rPr>
          <w:rFonts w:ascii="仿宋_GB2312" w:eastAsia="仿宋_GB2312" w:hAnsi="宋体" w:cs="Times New Roman" w:hint="eastAsia"/>
          <w:color w:val="000000"/>
          <w:sz w:val="32"/>
          <w:szCs w:val="24"/>
        </w:rPr>
        <w:t>日字A型：托盘平面尺寸为1200mm×1000mm、单面使用、紧密对接边板</w:t>
      </w:r>
      <w:r w:rsidR="00C03329" w:rsidRPr="00C03329">
        <w:rPr>
          <w:rFonts w:ascii="仿宋_GB2312" w:eastAsia="仿宋_GB2312" w:hAnsi="宋体" w:hint="eastAsia"/>
          <w:color w:val="000000"/>
          <w:sz w:val="32"/>
          <w:szCs w:val="24"/>
        </w:rPr>
        <w:t>，</w:t>
      </w:r>
      <w:r w:rsidR="00C03329" w:rsidRPr="00C03329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四面进叉木质平托盘</w:t>
      </w:r>
      <w:r w:rsidR="00C03329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。</w:t>
      </w:r>
    </w:p>
    <w:p w:rsidR="007E403E" w:rsidRPr="007E403E" w:rsidRDefault="007E403E" w:rsidP="00C03329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24"/>
        </w:rPr>
      </w:pPr>
      <w:r w:rsidRPr="007E403E">
        <w:rPr>
          <w:rFonts w:ascii="黑体" w:eastAsia="黑体" w:hAnsi="黑体" w:cs="Times New Roman" w:hint="eastAsia"/>
          <w:color w:val="000000"/>
          <w:kern w:val="0"/>
          <w:sz w:val="32"/>
          <w:szCs w:val="24"/>
        </w:rPr>
        <w:t>（三）尺寸及公差</w:t>
      </w:r>
    </w:p>
    <w:p w:rsidR="007E403E" w:rsidRDefault="007E403E" w:rsidP="007E403E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7E403E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开放式循环木质平托盘整体与各类型部件的尺寸及公差要求</w:t>
      </w:r>
      <w:r w:rsidR="009F2824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如下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。</w:t>
      </w:r>
    </w:p>
    <w:tbl>
      <w:tblPr>
        <w:tblW w:w="4703" w:type="pct"/>
        <w:jc w:val="center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1419"/>
        <w:gridCol w:w="5384"/>
      </w:tblGrid>
      <w:tr w:rsidR="00F12B5A" w:rsidRPr="00802463" w:rsidTr="00F12B5A">
        <w:trPr>
          <w:trHeight w:val="567"/>
          <w:jc w:val="center"/>
        </w:trPr>
        <w:tc>
          <w:tcPr>
            <w:tcW w:w="7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名称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分类</w:t>
            </w:r>
          </w:p>
        </w:tc>
        <w:tc>
          <w:tcPr>
            <w:tcW w:w="33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公差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平面尺寸</w:t>
            </w:r>
          </w:p>
        </w:tc>
        <w:tc>
          <w:tcPr>
            <w:tcW w:w="885" w:type="pct"/>
            <w:tcBorders>
              <w:top w:val="single" w:sz="8" w:space="0" w:color="auto"/>
            </w:tcBorders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通用</w:t>
            </w:r>
          </w:p>
        </w:tc>
        <w:tc>
          <w:tcPr>
            <w:tcW w:w="335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长*宽：1200 * 1000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+3 -6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铺板条</w:t>
            </w: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通用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长*宽*高：1000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+3 -6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* 90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* 20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纵梁板</w:t>
            </w: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川字B型</w:t>
            </w:r>
          </w:p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日字A型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长*宽*高：1200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+3 -6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* 90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*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23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纵梁</w:t>
            </w: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川字A型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长*宽*高：1200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+3 -6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* 50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*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100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+1 -1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vMerge w:val="restar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垫块</w:t>
            </w: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四周</w:t>
            </w:r>
          </w:p>
          <w:p w:rsidR="00F12B5A" w:rsidRPr="00F12B5A" w:rsidRDefault="00F12B5A" w:rsidP="00593067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（共6块）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长*宽*高： 160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* 90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 xml:space="preserve"> * 85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+1 -1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vMerge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中间</w:t>
            </w:r>
          </w:p>
          <w:p w:rsidR="00F12B5A" w:rsidRPr="00F12B5A" w:rsidRDefault="00F12B5A" w:rsidP="00593067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（共3块）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长*宽*高： 120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>* 90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+2 -2</w:t>
            </w:r>
            <w:r w:rsidRPr="00F12B5A">
              <w:rPr>
                <w:rFonts w:ascii="宋体" w:hAnsi="宋体" w:hint="eastAsia"/>
                <w:sz w:val="24"/>
                <w:szCs w:val="18"/>
              </w:rPr>
              <w:t xml:space="preserve"> * 85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  <w:eastAsianLayout w:id="1396870656" w:combine="1"/>
              </w:rPr>
              <w:t>+1 -1</w:t>
            </w:r>
            <w:r w:rsidRPr="00F12B5A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mm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对角线偏差</w:t>
            </w:r>
          </w:p>
        </w:tc>
        <w:tc>
          <w:tcPr>
            <w:tcW w:w="885" w:type="pct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58" w:type="pct"/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托盘平面两对角线长度之差应不大于对角线长度的1%</w:t>
            </w:r>
          </w:p>
        </w:tc>
      </w:tr>
      <w:tr w:rsidR="00F12B5A" w:rsidRPr="00802463" w:rsidTr="00F12B5A">
        <w:trPr>
          <w:trHeight w:val="567"/>
          <w:jc w:val="center"/>
        </w:trPr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平面度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:rsidR="00F12B5A" w:rsidRPr="00F12B5A" w:rsidRDefault="00F12B5A" w:rsidP="00593067">
            <w:pPr>
              <w:spacing w:line="400" w:lineRule="exact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3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B5A" w:rsidRPr="00F12B5A" w:rsidRDefault="00F12B5A" w:rsidP="00593067">
            <w:pPr>
              <w:spacing w:line="400" w:lineRule="exact"/>
              <w:rPr>
                <w:rFonts w:ascii="宋体" w:hAnsi="宋体"/>
                <w:sz w:val="24"/>
                <w:szCs w:val="18"/>
              </w:rPr>
            </w:pPr>
            <w:r w:rsidRPr="00F12B5A">
              <w:rPr>
                <w:rFonts w:ascii="宋体" w:hAnsi="宋体" w:hint="eastAsia"/>
                <w:sz w:val="24"/>
                <w:szCs w:val="18"/>
              </w:rPr>
              <w:t>≤7mm</w:t>
            </w:r>
          </w:p>
        </w:tc>
      </w:tr>
    </w:tbl>
    <w:p w:rsidR="00C03329" w:rsidRPr="00D64F4F" w:rsidRDefault="00BC31B5" w:rsidP="00F12B5A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24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24"/>
        </w:rPr>
        <w:t>六、主要参考文献和资料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1935 木材顺纹抗压强度试验方法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1936.1 木材抗弯强度试验方法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3716-2000 托盘术语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4823锯材缺陷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2934-2007联运通用平托盘 主要尺寸及公差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31148-2014联运通用平托盘 木质平托盘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4995联运通用平托盘 性能要求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lastRenderedPageBreak/>
        <w:t>GB/T 4996联运通用平托盘 试验方法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15425-2014商品条码 128条码</w:t>
      </w:r>
    </w:p>
    <w:p w:rsid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GB/T 18284-2000快速响应矩阵码</w:t>
      </w:r>
    </w:p>
    <w:p w:rsidR="00F12B5A" w:rsidRPr="00543BC5" w:rsidRDefault="00F12B5A" w:rsidP="00F12B5A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F12B5A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T/WD 102.1-2017 开放式循环木质平托盘 日字形周底托盘</w:t>
      </w:r>
    </w:p>
    <w:p w:rsidR="00543BC5" w:rsidRP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GB 27704钢钉</w:t>
      </w:r>
    </w:p>
    <w:p w:rsidR="00543BC5" w:rsidRDefault="00543BC5" w:rsidP="009C76A7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  <w:r w:rsidRPr="00543BC5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EN 13183-2-2002 锯材的含水率</w:t>
      </w:r>
    </w:p>
    <w:p w:rsidR="00EC1059" w:rsidRPr="00EC1059" w:rsidRDefault="00EC1059" w:rsidP="00F12B5A">
      <w:pPr>
        <w:spacing w:line="360" w:lineRule="auto"/>
        <w:rPr>
          <w:rFonts w:ascii="仿宋_GB2312" w:eastAsia="仿宋_GB2312" w:hAnsi="宋体" w:cs="Times New Roman"/>
          <w:color w:val="000000"/>
          <w:kern w:val="0"/>
          <w:sz w:val="32"/>
          <w:szCs w:val="24"/>
        </w:rPr>
      </w:pPr>
    </w:p>
    <w:sectPr w:rsidR="00EC1059" w:rsidRPr="00EC1059" w:rsidSect="0027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69" w:rsidRDefault="00EF4069" w:rsidP="003F149F">
      <w:r>
        <w:separator/>
      </w:r>
    </w:p>
  </w:endnote>
  <w:endnote w:type="continuationSeparator" w:id="0">
    <w:p w:rsidR="00EF4069" w:rsidRDefault="00EF4069" w:rsidP="003F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69" w:rsidRDefault="00EF4069" w:rsidP="003F149F">
      <w:r>
        <w:separator/>
      </w:r>
    </w:p>
  </w:footnote>
  <w:footnote w:type="continuationSeparator" w:id="0">
    <w:p w:rsidR="00EF4069" w:rsidRDefault="00EF4069" w:rsidP="003F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2D8"/>
    <w:rsid w:val="000F309B"/>
    <w:rsid w:val="000F32B9"/>
    <w:rsid w:val="00195331"/>
    <w:rsid w:val="00273858"/>
    <w:rsid w:val="00384F97"/>
    <w:rsid w:val="003F149F"/>
    <w:rsid w:val="004273C8"/>
    <w:rsid w:val="004660CA"/>
    <w:rsid w:val="004F6398"/>
    <w:rsid w:val="004F6408"/>
    <w:rsid w:val="00514961"/>
    <w:rsid w:val="00543BC5"/>
    <w:rsid w:val="006F0CF2"/>
    <w:rsid w:val="00724286"/>
    <w:rsid w:val="00751308"/>
    <w:rsid w:val="007E403E"/>
    <w:rsid w:val="00904B90"/>
    <w:rsid w:val="009C76A7"/>
    <w:rsid w:val="009F2824"/>
    <w:rsid w:val="00AC0130"/>
    <w:rsid w:val="00AF02D8"/>
    <w:rsid w:val="00B675D8"/>
    <w:rsid w:val="00B7303E"/>
    <w:rsid w:val="00BC31B5"/>
    <w:rsid w:val="00C03329"/>
    <w:rsid w:val="00CD1575"/>
    <w:rsid w:val="00CE7D5D"/>
    <w:rsid w:val="00D24091"/>
    <w:rsid w:val="00D64F4F"/>
    <w:rsid w:val="00EC1059"/>
    <w:rsid w:val="00EF4069"/>
    <w:rsid w:val="00F12B5A"/>
    <w:rsid w:val="00F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9F"/>
    <w:rPr>
      <w:sz w:val="18"/>
      <w:szCs w:val="18"/>
    </w:rPr>
  </w:style>
  <w:style w:type="paragraph" w:customStyle="1" w:styleId="a5">
    <w:name w:val="一级条标题"/>
    <w:next w:val="a"/>
    <w:rsid w:val="00C03329"/>
    <w:pPr>
      <w:tabs>
        <w:tab w:val="left" w:pos="360"/>
      </w:tabs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6">
    <w:name w:val="List Paragraph"/>
    <w:basedOn w:val="a"/>
    <w:uiPriority w:val="34"/>
    <w:qFormat/>
    <w:rsid w:val="00C033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49F"/>
    <w:rPr>
      <w:sz w:val="18"/>
      <w:szCs w:val="18"/>
    </w:rPr>
  </w:style>
  <w:style w:type="paragraph" w:customStyle="1" w:styleId="a5">
    <w:name w:val="一级条标题"/>
    <w:next w:val="a"/>
    <w:rsid w:val="00C03329"/>
    <w:pPr>
      <w:tabs>
        <w:tab w:val="left" w:pos="360"/>
      </w:tabs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6">
    <w:name w:val="List Paragraph"/>
    <w:basedOn w:val="a"/>
    <w:uiPriority w:val="34"/>
    <w:qFormat/>
    <w:rsid w:val="00C033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2018-03-28T02:54:00Z</dcterms:created>
  <dcterms:modified xsi:type="dcterms:W3CDTF">2018-04-17T03:44:00Z</dcterms:modified>
</cp:coreProperties>
</file>