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5D" w:rsidRPr="00B7303E" w:rsidRDefault="003F149F" w:rsidP="003F149F">
      <w:pPr>
        <w:jc w:val="center"/>
        <w:rPr>
          <w:rFonts w:ascii="黑体" w:eastAsia="黑体" w:hAnsi="黑体"/>
          <w:sz w:val="36"/>
          <w:szCs w:val="36"/>
        </w:rPr>
      </w:pPr>
      <w:r w:rsidRPr="00B7303E">
        <w:rPr>
          <w:rFonts w:ascii="黑体" w:eastAsia="黑体" w:hAnsi="黑体" w:hint="eastAsia"/>
          <w:sz w:val="36"/>
          <w:szCs w:val="36"/>
        </w:rPr>
        <w:t>《开放式循环木质平托盘技术规范》江西省地方标准编制说明</w:t>
      </w:r>
    </w:p>
    <w:p w:rsidR="003F149F" w:rsidRDefault="003F149F" w:rsidP="003F149F">
      <w:pPr>
        <w:ind w:firstLine="720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3F149F" w:rsidRPr="003F149F" w:rsidRDefault="003F149F" w:rsidP="004273C8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3F149F">
        <w:rPr>
          <w:rFonts w:ascii="黑体" w:eastAsia="黑体" w:hAnsi="黑体" w:hint="eastAsia"/>
          <w:sz w:val="32"/>
          <w:szCs w:val="32"/>
        </w:rPr>
        <w:t>一、制定标准任务的提出：</w:t>
      </w:r>
    </w:p>
    <w:p w:rsidR="003F149F" w:rsidRDefault="003F149F" w:rsidP="004273C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根据江西省商务</w:t>
      </w:r>
      <w:r w:rsidRPr="005F7F4B">
        <w:rPr>
          <w:rFonts w:ascii="仿宋_GB2312" w:eastAsia="仿宋_GB2312" w:hint="eastAsia"/>
          <w:sz w:val="32"/>
          <w:szCs w:val="32"/>
        </w:rPr>
        <w:t>厅印发的《关于转发&lt;关于2016年开展物流标准化试点工作的通知&gt;的通知》（赣商务服务业字〔2016〕236号）要求,“以标准托盘（1200×1000mm）及其循环共用为切入点，带动上下游物流设施设备和包装标准化水平提升”和“标准化主管部门负责地方标准制定和标准实施的指导工作”。物流标准化试点项目</w:t>
      </w:r>
      <w:r>
        <w:rPr>
          <w:rFonts w:ascii="仿宋_GB2312" w:eastAsia="仿宋_GB2312" w:hint="eastAsia"/>
          <w:sz w:val="32"/>
          <w:szCs w:val="32"/>
        </w:rPr>
        <w:t>进展至今</w:t>
      </w:r>
      <w:r w:rsidRPr="005F7F4B">
        <w:rPr>
          <w:rFonts w:ascii="仿宋_GB2312" w:eastAsia="仿宋_GB2312" w:hint="eastAsia"/>
          <w:sz w:val="32"/>
          <w:szCs w:val="32"/>
        </w:rPr>
        <w:t>，江西省物流与采购联合会在调研和指导试点企业开展标准化</w:t>
      </w:r>
      <w:r>
        <w:rPr>
          <w:rFonts w:ascii="仿宋_GB2312" w:eastAsia="仿宋_GB2312" w:hint="eastAsia"/>
          <w:sz w:val="32"/>
          <w:szCs w:val="32"/>
        </w:rPr>
        <w:t>项目建设时，试点企业</w:t>
      </w:r>
      <w:r w:rsidRPr="005F7F4B">
        <w:rPr>
          <w:rFonts w:ascii="仿宋_GB2312" w:eastAsia="仿宋_GB2312" w:hint="eastAsia"/>
          <w:sz w:val="32"/>
          <w:szCs w:val="32"/>
        </w:rPr>
        <w:t>对标准托盘的认识限于托盘</w:t>
      </w:r>
      <w:r>
        <w:rPr>
          <w:rFonts w:ascii="仿宋_GB2312" w:eastAsia="仿宋_GB2312" w:hint="eastAsia"/>
          <w:sz w:val="32"/>
          <w:szCs w:val="32"/>
        </w:rPr>
        <w:t>整体</w:t>
      </w:r>
      <w:r w:rsidRPr="005F7F4B">
        <w:rPr>
          <w:rFonts w:ascii="仿宋_GB2312" w:eastAsia="仿宋_GB2312" w:hint="eastAsia"/>
          <w:sz w:val="32"/>
          <w:szCs w:val="32"/>
        </w:rPr>
        <w:t>尺寸</w:t>
      </w:r>
      <w:r>
        <w:rPr>
          <w:rFonts w:ascii="仿宋_GB2312" w:eastAsia="仿宋_GB2312" w:hint="eastAsia"/>
          <w:sz w:val="32"/>
          <w:szCs w:val="32"/>
        </w:rPr>
        <w:t>1200</w:t>
      </w:r>
      <w:r w:rsidRPr="005F7F4B">
        <w:rPr>
          <w:rFonts w:ascii="仿宋_GB2312" w:eastAsia="仿宋_GB2312" w:hint="eastAsia"/>
          <w:sz w:val="32"/>
          <w:szCs w:val="32"/>
        </w:rPr>
        <w:t>×1</w:t>
      </w:r>
      <w:r>
        <w:rPr>
          <w:rFonts w:ascii="仿宋_GB2312" w:eastAsia="仿宋_GB2312" w:hint="eastAsia"/>
          <w:sz w:val="32"/>
          <w:szCs w:val="32"/>
        </w:rPr>
        <w:t>000m</w:t>
      </w:r>
      <w:r w:rsidRPr="005F7F4B">
        <w:rPr>
          <w:rFonts w:ascii="仿宋_GB2312" w:eastAsia="仿宋_GB2312" w:hint="eastAsia"/>
          <w:sz w:val="32"/>
          <w:szCs w:val="32"/>
        </w:rPr>
        <w:t>m（《联运通用平托盘主要尺寸及公差》（GB/T 2934-2007）），对托盘</w:t>
      </w:r>
      <w:r>
        <w:rPr>
          <w:rFonts w:ascii="仿宋_GB2312" w:eastAsia="仿宋_GB2312" w:hint="eastAsia"/>
          <w:sz w:val="32"/>
          <w:szCs w:val="32"/>
        </w:rPr>
        <w:t>部件尺寸、</w:t>
      </w:r>
      <w:r w:rsidRPr="005F7F4B">
        <w:rPr>
          <w:rFonts w:ascii="仿宋_GB2312" w:eastAsia="仿宋_GB2312" w:hint="eastAsia"/>
          <w:sz w:val="32"/>
          <w:szCs w:val="32"/>
        </w:rPr>
        <w:t>结构</w:t>
      </w:r>
      <w:r>
        <w:rPr>
          <w:rFonts w:ascii="仿宋_GB2312" w:eastAsia="仿宋_GB2312" w:hint="eastAsia"/>
          <w:sz w:val="32"/>
          <w:szCs w:val="32"/>
        </w:rPr>
        <w:t>和</w:t>
      </w:r>
      <w:r w:rsidRPr="005F7F4B">
        <w:rPr>
          <w:rFonts w:ascii="仿宋_GB2312" w:eastAsia="仿宋_GB2312" w:hint="eastAsia"/>
          <w:sz w:val="32"/>
          <w:szCs w:val="32"/>
        </w:rPr>
        <w:t>材质等要求都</w:t>
      </w:r>
      <w:r>
        <w:rPr>
          <w:rFonts w:ascii="仿宋_GB2312" w:eastAsia="仿宋_GB2312" w:hint="eastAsia"/>
          <w:sz w:val="32"/>
          <w:szCs w:val="32"/>
        </w:rPr>
        <w:t>缺乏</w:t>
      </w:r>
      <w:r w:rsidRPr="005F7F4B">
        <w:rPr>
          <w:rFonts w:ascii="仿宋_GB2312" w:eastAsia="仿宋_GB2312" w:hint="eastAsia"/>
          <w:sz w:val="32"/>
          <w:szCs w:val="32"/>
        </w:rPr>
        <w:t>了解，导致生产的托盘质量和</w:t>
      </w:r>
      <w:r>
        <w:rPr>
          <w:rFonts w:ascii="仿宋_GB2312" w:eastAsia="仿宋_GB2312" w:hint="eastAsia"/>
          <w:sz w:val="32"/>
          <w:szCs w:val="32"/>
        </w:rPr>
        <w:t>结构标准不一</w:t>
      </w:r>
      <w:r w:rsidRPr="005F7F4B">
        <w:rPr>
          <w:rFonts w:ascii="仿宋_GB2312" w:eastAsia="仿宋_GB2312" w:hint="eastAsia"/>
          <w:sz w:val="32"/>
          <w:szCs w:val="32"/>
        </w:rPr>
        <w:t>，托盘循环共用</w:t>
      </w:r>
      <w:r>
        <w:rPr>
          <w:rFonts w:ascii="仿宋_GB2312" w:eastAsia="仿宋_GB2312" w:hint="eastAsia"/>
          <w:sz w:val="32"/>
          <w:szCs w:val="32"/>
        </w:rPr>
        <w:t>体系难以搭建</w:t>
      </w:r>
      <w:r w:rsidRPr="005F7F4B">
        <w:rPr>
          <w:rFonts w:ascii="仿宋_GB2312" w:eastAsia="仿宋_GB2312" w:hint="eastAsia"/>
          <w:sz w:val="32"/>
          <w:szCs w:val="32"/>
        </w:rPr>
        <w:t>。</w:t>
      </w:r>
    </w:p>
    <w:p w:rsidR="003F149F" w:rsidRDefault="003F149F" w:rsidP="004273C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F7F4B">
        <w:rPr>
          <w:rFonts w:ascii="仿宋_GB2312" w:eastAsia="仿宋_GB2312" w:hint="eastAsia"/>
          <w:sz w:val="32"/>
          <w:szCs w:val="32"/>
        </w:rPr>
        <w:t>为规范标准托盘的生产及循环流通，实现托盘循环共用，对循环共用平托盘的材质、结构、高度、载荷和性能等进行规范，</w:t>
      </w:r>
      <w:r>
        <w:rPr>
          <w:rFonts w:ascii="仿宋_GB2312" w:eastAsia="仿宋_GB2312" w:hint="eastAsia"/>
          <w:sz w:val="32"/>
          <w:szCs w:val="32"/>
        </w:rPr>
        <w:t>助力江西省托盘循环共用体系建设</w:t>
      </w:r>
      <w:r w:rsidR="00751308">
        <w:rPr>
          <w:rFonts w:ascii="仿宋_GB2312" w:eastAsia="仿宋_GB2312" w:hint="eastAsia"/>
          <w:sz w:val="32"/>
          <w:szCs w:val="32"/>
        </w:rPr>
        <w:t xml:space="preserve">，现提出《开放式循环木质平托盘技术规范》地方标准建设项目。 </w:t>
      </w:r>
    </w:p>
    <w:p w:rsidR="00751308" w:rsidRDefault="00751308" w:rsidP="004273C8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751308">
        <w:rPr>
          <w:rFonts w:ascii="黑体" w:eastAsia="黑体" w:hAnsi="黑体" w:hint="eastAsia"/>
          <w:sz w:val="32"/>
          <w:szCs w:val="32"/>
        </w:rPr>
        <w:t>二、制定标准的必要性</w:t>
      </w:r>
    </w:p>
    <w:p w:rsidR="00751308" w:rsidRPr="00751308" w:rsidRDefault="00751308" w:rsidP="004273C8">
      <w:pPr>
        <w:spacing w:line="360" w:lineRule="auto"/>
        <w:ind w:firstLineChars="200" w:firstLine="640"/>
        <w:rPr>
          <w:rFonts w:ascii="Calibri" w:eastAsia="仿宋_GB2312" w:hAnsi="Calibri" w:cs="Times New Roman"/>
          <w:color w:val="000000"/>
          <w:sz w:val="32"/>
        </w:rPr>
      </w:pPr>
      <w:r w:rsidRPr="00751308">
        <w:rPr>
          <w:rFonts w:ascii="Calibri" w:eastAsia="仿宋_GB2312" w:hAnsi="Calibri" w:cs="Times New Roman" w:hint="eastAsia"/>
          <w:color w:val="000000"/>
          <w:sz w:val="32"/>
        </w:rPr>
        <w:t>物流业标准化是保障物流运作安全便利、高效畅通的重</w:t>
      </w:r>
      <w:r w:rsidRPr="00751308">
        <w:rPr>
          <w:rFonts w:ascii="Calibri" w:eastAsia="仿宋_GB2312" w:hAnsi="Calibri" w:cs="Times New Roman" w:hint="eastAsia"/>
          <w:color w:val="000000"/>
          <w:sz w:val="32"/>
        </w:rPr>
        <w:lastRenderedPageBreak/>
        <w:t>要手段，也是提高物流服务水平，降低物流成本，促进区域物流业健康发展，增强区域竞争力的重要“助推器”。随着我省物流业标准化的快速、持续发展，我省的物流业标准化工作现状已经满足不了物流业大发展需求，尤其是托盘标准。标准化实施以来，试点企业对标准托盘的认识限于托盘整体尺寸</w:t>
      </w:r>
      <w:r w:rsidRPr="00751308">
        <w:rPr>
          <w:rFonts w:ascii="Calibri" w:eastAsia="仿宋_GB2312" w:hAnsi="Calibri" w:cs="Times New Roman" w:hint="eastAsia"/>
          <w:color w:val="000000"/>
          <w:sz w:val="32"/>
        </w:rPr>
        <w:t>1200</w:t>
      </w:r>
      <w:r w:rsidRPr="00751308">
        <w:rPr>
          <w:rFonts w:ascii="Calibri" w:eastAsia="仿宋_GB2312" w:hAnsi="Calibri" w:cs="Times New Roman" w:hint="eastAsia"/>
          <w:color w:val="000000"/>
          <w:sz w:val="32"/>
        </w:rPr>
        <w:t>×</w:t>
      </w:r>
      <w:r w:rsidRPr="00751308">
        <w:rPr>
          <w:rFonts w:ascii="Calibri" w:eastAsia="仿宋_GB2312" w:hAnsi="Calibri" w:cs="Times New Roman" w:hint="eastAsia"/>
          <w:color w:val="000000"/>
          <w:sz w:val="32"/>
        </w:rPr>
        <w:t>1000mm</w:t>
      </w:r>
      <w:r w:rsidRPr="00751308">
        <w:rPr>
          <w:rFonts w:ascii="Calibri" w:eastAsia="仿宋_GB2312" w:hAnsi="Calibri" w:cs="Times New Roman" w:hint="eastAsia"/>
          <w:color w:val="000000"/>
          <w:sz w:val="32"/>
        </w:rPr>
        <w:t>（《联运通用平托盘主要尺寸及公差》（</w:t>
      </w:r>
      <w:r w:rsidRPr="00751308">
        <w:rPr>
          <w:rFonts w:ascii="Calibri" w:eastAsia="仿宋_GB2312" w:hAnsi="Calibri" w:cs="Times New Roman" w:hint="eastAsia"/>
          <w:color w:val="000000"/>
          <w:sz w:val="32"/>
        </w:rPr>
        <w:t>GB/T 2934-2007</w:t>
      </w:r>
      <w:r w:rsidRPr="00751308">
        <w:rPr>
          <w:rFonts w:ascii="Calibri" w:eastAsia="仿宋_GB2312" w:hAnsi="Calibri" w:cs="Times New Roman" w:hint="eastAsia"/>
          <w:color w:val="000000"/>
          <w:sz w:val="32"/>
        </w:rPr>
        <w:t>）），对托盘结构、尺寸、材质和承载能力等要求都缺乏了解，导致生产的托盘质量和结构</w:t>
      </w:r>
      <w:r w:rsidR="00CD1575">
        <w:rPr>
          <w:rFonts w:ascii="Calibri" w:eastAsia="仿宋_GB2312" w:hAnsi="Calibri" w:cs="Times New Roman" w:hint="eastAsia"/>
          <w:color w:val="000000"/>
          <w:sz w:val="32"/>
        </w:rPr>
        <w:t>标准不一，托盘循环共用体系难以建成。而托盘循环共用是物流标准化极</w:t>
      </w:r>
      <w:r w:rsidRPr="00751308">
        <w:rPr>
          <w:rFonts w:ascii="Calibri" w:eastAsia="仿宋_GB2312" w:hAnsi="Calibri" w:cs="Times New Roman" w:hint="eastAsia"/>
          <w:color w:val="000000"/>
          <w:sz w:val="32"/>
        </w:rPr>
        <w:t>其重要的一环，直接影响我省物流标准化建设效果。</w:t>
      </w:r>
    </w:p>
    <w:p w:rsidR="00751308" w:rsidRPr="00751308" w:rsidRDefault="00751308" w:rsidP="004273C8">
      <w:pPr>
        <w:spacing w:line="360" w:lineRule="auto"/>
        <w:ind w:firstLineChars="200" w:firstLine="640"/>
        <w:rPr>
          <w:rFonts w:ascii="Calibri" w:eastAsia="仿宋_GB2312" w:hAnsi="Calibri" w:cs="Times New Roman"/>
          <w:color w:val="000000"/>
          <w:sz w:val="32"/>
        </w:rPr>
      </w:pPr>
      <w:r w:rsidRPr="00751308">
        <w:rPr>
          <w:rFonts w:ascii="Calibri" w:eastAsia="仿宋_GB2312" w:hAnsi="Calibri" w:cs="Times New Roman" w:hint="eastAsia"/>
          <w:color w:val="000000"/>
          <w:sz w:val="32"/>
        </w:rPr>
        <w:t>为推动我省物流行业的标准化发展，尽快建立和完善我省标准托盘地方标准体系，助力物流标准化试点项目，引导我省物流企业加快推进标准化建设，降本增效，提高服务质量，必须制定江西省开放式循环木质托盘地方标准。</w:t>
      </w:r>
    </w:p>
    <w:p w:rsidR="00751308" w:rsidRDefault="00751308" w:rsidP="004273C8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三、标准的起草过程</w:t>
      </w:r>
    </w:p>
    <w:p w:rsidR="00751308" w:rsidRPr="00751308" w:rsidRDefault="00751308" w:rsidP="004273C8">
      <w:pPr>
        <w:spacing w:line="360" w:lineRule="auto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24"/>
        </w:rPr>
      </w:pPr>
      <w:r w:rsidRPr="00751308">
        <w:rPr>
          <w:rFonts w:ascii="仿宋_GB2312" w:eastAsia="仿宋_GB2312" w:hAnsi="宋体" w:cs="Times New Roman"/>
          <w:color w:val="000000"/>
          <w:sz w:val="32"/>
          <w:szCs w:val="24"/>
        </w:rPr>
        <w:t>《</w:t>
      </w:r>
      <w:r>
        <w:rPr>
          <w:rFonts w:ascii="仿宋_GB2312" w:eastAsia="仿宋_GB2312" w:hAnsi="宋体" w:cs="Times New Roman" w:hint="eastAsia"/>
          <w:color w:val="000000"/>
          <w:sz w:val="32"/>
          <w:szCs w:val="24"/>
        </w:rPr>
        <w:t>开放式循环木质平托盘技术规范</w:t>
      </w:r>
      <w:r w:rsidRPr="00751308">
        <w:rPr>
          <w:rFonts w:ascii="仿宋_GB2312" w:eastAsia="仿宋_GB2312" w:hAnsi="宋体" w:cs="Times New Roman"/>
          <w:color w:val="000000"/>
          <w:sz w:val="32"/>
          <w:szCs w:val="24"/>
        </w:rPr>
        <w:t>》</w:t>
      </w:r>
      <w:r>
        <w:rPr>
          <w:rFonts w:ascii="仿宋_GB2312" w:eastAsia="仿宋_GB2312" w:hAnsi="宋体" w:cs="Times New Roman" w:hint="eastAsia"/>
          <w:color w:val="000000"/>
          <w:sz w:val="32"/>
          <w:szCs w:val="24"/>
        </w:rPr>
        <w:t>地方</w:t>
      </w:r>
      <w:r w:rsidRPr="00751308">
        <w:rPr>
          <w:rFonts w:ascii="仿宋_GB2312" w:eastAsia="仿宋_GB2312" w:hAnsi="宋体" w:cs="Times New Roman"/>
          <w:color w:val="000000"/>
          <w:sz w:val="32"/>
          <w:szCs w:val="24"/>
        </w:rPr>
        <w:t>标准制订工作，始于</w:t>
      </w:r>
      <w:r w:rsidR="007E403E">
        <w:rPr>
          <w:rFonts w:ascii="仿宋_GB2312" w:eastAsia="仿宋_GB2312" w:hAnsi="宋体" w:cs="Times New Roman" w:hint="eastAsia"/>
          <w:color w:val="000000"/>
          <w:sz w:val="32"/>
          <w:szCs w:val="24"/>
        </w:rPr>
        <w:t>2017</w:t>
      </w:r>
      <w:r w:rsidRPr="00751308">
        <w:rPr>
          <w:rFonts w:ascii="仿宋_GB2312" w:eastAsia="仿宋_GB2312" w:hAnsi="宋体" w:cs="Times New Roman"/>
          <w:color w:val="000000"/>
          <w:sz w:val="32"/>
          <w:szCs w:val="24"/>
        </w:rPr>
        <w:t>年</w:t>
      </w:r>
      <w:r w:rsidR="00AC0130">
        <w:rPr>
          <w:rFonts w:ascii="仿宋_GB2312" w:eastAsia="仿宋_GB2312" w:hAnsi="宋体" w:cs="Times New Roman" w:hint="eastAsia"/>
          <w:color w:val="000000"/>
          <w:sz w:val="32"/>
          <w:szCs w:val="24"/>
        </w:rPr>
        <w:t>7</w:t>
      </w:r>
      <w:r w:rsidRPr="00751308">
        <w:rPr>
          <w:rFonts w:ascii="仿宋_GB2312" w:eastAsia="仿宋_GB2312" w:hAnsi="宋体" w:cs="Times New Roman" w:hint="eastAsia"/>
          <w:color w:val="000000"/>
          <w:sz w:val="32"/>
          <w:szCs w:val="24"/>
        </w:rPr>
        <w:t>月份</w:t>
      </w:r>
      <w:r w:rsidRPr="00751308">
        <w:rPr>
          <w:rFonts w:ascii="仿宋_GB2312" w:eastAsia="仿宋_GB2312" w:hAnsi="宋体" w:cs="Times New Roman"/>
          <w:color w:val="000000"/>
          <w:sz w:val="32"/>
          <w:szCs w:val="24"/>
        </w:rPr>
        <w:t>，征求各部门、企业</w:t>
      </w:r>
      <w:r w:rsidRPr="00751308">
        <w:rPr>
          <w:rFonts w:ascii="仿宋_GB2312" w:eastAsia="仿宋_GB2312" w:hAnsi="宋体" w:cs="Times New Roman" w:hint="eastAsia"/>
          <w:color w:val="000000"/>
          <w:sz w:val="32"/>
          <w:szCs w:val="24"/>
        </w:rPr>
        <w:t>和</w:t>
      </w:r>
      <w:r w:rsidRPr="00751308">
        <w:rPr>
          <w:rFonts w:ascii="仿宋_GB2312" w:eastAsia="仿宋_GB2312" w:hAnsi="宋体" w:cs="Times New Roman"/>
          <w:color w:val="000000"/>
          <w:sz w:val="32"/>
          <w:szCs w:val="24"/>
        </w:rPr>
        <w:t>专家意见，经反复讨论修改后形成</w:t>
      </w:r>
      <w:r w:rsidR="00384F97">
        <w:rPr>
          <w:rFonts w:ascii="仿宋_GB2312" w:eastAsia="仿宋_GB2312" w:hAnsi="宋体" w:cs="Times New Roman" w:hint="eastAsia"/>
          <w:color w:val="000000"/>
          <w:sz w:val="32"/>
          <w:szCs w:val="24"/>
        </w:rPr>
        <w:t>技术规范</w:t>
      </w:r>
      <w:r w:rsidR="00B675D8">
        <w:rPr>
          <w:rFonts w:ascii="仿宋_GB2312" w:eastAsia="仿宋_GB2312" w:hAnsi="宋体" w:cs="Times New Roman" w:hint="eastAsia"/>
          <w:color w:val="000000"/>
          <w:sz w:val="32"/>
          <w:szCs w:val="24"/>
        </w:rPr>
        <w:t>征求意见稿</w:t>
      </w:r>
      <w:r w:rsidRPr="00751308">
        <w:rPr>
          <w:rFonts w:ascii="仿宋_GB2312" w:eastAsia="仿宋_GB2312" w:hAnsi="宋体" w:cs="Times New Roman" w:hint="eastAsia"/>
          <w:color w:val="000000"/>
          <w:sz w:val="32"/>
          <w:szCs w:val="24"/>
        </w:rPr>
        <w:t>。根据各部门反馈的意见，经汇总、归纳，对</w:t>
      </w:r>
      <w:r w:rsidR="00B675D8">
        <w:rPr>
          <w:rFonts w:ascii="仿宋_GB2312" w:eastAsia="仿宋_GB2312" w:hAnsi="宋体" w:cs="Times New Roman" w:hint="eastAsia"/>
          <w:color w:val="000000"/>
          <w:sz w:val="32"/>
          <w:szCs w:val="24"/>
        </w:rPr>
        <w:t>征求意见稿</w:t>
      </w:r>
      <w:r w:rsidRPr="00751308">
        <w:rPr>
          <w:rFonts w:ascii="仿宋_GB2312" w:eastAsia="仿宋_GB2312" w:hAnsi="宋体" w:cs="Times New Roman" w:hint="eastAsia"/>
          <w:color w:val="000000"/>
          <w:sz w:val="32"/>
          <w:szCs w:val="24"/>
        </w:rPr>
        <w:t>进行修改完善，形成送审稿，</w:t>
      </w:r>
      <w:r w:rsidRPr="00751308">
        <w:rPr>
          <w:rFonts w:ascii="仿宋_GB2312" w:eastAsia="仿宋_GB2312" w:hAnsi="宋体" w:cs="Times New Roman"/>
          <w:color w:val="000000"/>
          <w:sz w:val="32"/>
          <w:szCs w:val="24"/>
        </w:rPr>
        <w:t>使</w:t>
      </w:r>
      <w:r w:rsidRPr="00751308">
        <w:rPr>
          <w:rFonts w:ascii="仿宋_GB2312" w:eastAsia="仿宋_GB2312" w:hAnsi="宋体" w:cs="Times New Roman" w:hint="eastAsia"/>
          <w:color w:val="000000"/>
          <w:sz w:val="32"/>
          <w:szCs w:val="24"/>
        </w:rPr>
        <w:t>规范</w:t>
      </w:r>
      <w:r w:rsidRPr="00751308">
        <w:rPr>
          <w:rFonts w:ascii="仿宋_GB2312" w:eastAsia="仿宋_GB2312" w:hAnsi="宋体" w:cs="Times New Roman"/>
          <w:color w:val="000000"/>
          <w:sz w:val="32"/>
          <w:szCs w:val="24"/>
        </w:rPr>
        <w:t>的内容和形式更为科学规范。</w:t>
      </w:r>
    </w:p>
    <w:p w:rsidR="00751308" w:rsidRDefault="004273C8" w:rsidP="004273C8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四、制定标准的依据</w:t>
      </w:r>
    </w:p>
    <w:p w:rsidR="004273C8" w:rsidRPr="004273C8" w:rsidRDefault="004273C8" w:rsidP="004273C8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24"/>
        </w:rPr>
      </w:pPr>
      <w:r w:rsidRPr="004273C8">
        <w:rPr>
          <w:rFonts w:ascii="仿宋_GB2312" w:eastAsia="仿宋_GB2312" w:hAnsi="宋体" w:cs="Times New Roman" w:hint="eastAsia"/>
          <w:color w:val="000000"/>
          <w:sz w:val="32"/>
          <w:szCs w:val="24"/>
        </w:rPr>
        <w:t>本</w:t>
      </w:r>
      <w:r>
        <w:rPr>
          <w:rFonts w:ascii="仿宋_GB2312" w:eastAsia="仿宋_GB2312" w:hAnsi="宋体" w:cs="Times New Roman" w:hint="eastAsia"/>
          <w:color w:val="000000"/>
          <w:sz w:val="32"/>
          <w:szCs w:val="24"/>
        </w:rPr>
        <w:t>技术规范</w:t>
      </w:r>
      <w:r w:rsidRPr="004273C8">
        <w:rPr>
          <w:rFonts w:ascii="仿宋_GB2312" w:eastAsia="仿宋_GB2312" w:hAnsi="宋体" w:cs="Times New Roman"/>
          <w:color w:val="000000"/>
          <w:sz w:val="32"/>
          <w:szCs w:val="24"/>
        </w:rPr>
        <w:t>主要根据</w:t>
      </w:r>
      <w:r>
        <w:rPr>
          <w:rFonts w:ascii="仿宋_GB2312" w:eastAsia="仿宋_GB2312" w:hAnsi="宋体" w:cs="Times New Roman" w:hint="eastAsia"/>
          <w:color w:val="000000"/>
          <w:sz w:val="32"/>
          <w:szCs w:val="24"/>
        </w:rPr>
        <w:t>中华人民共和国国家标准</w:t>
      </w:r>
      <w:r w:rsidRPr="004273C8">
        <w:rPr>
          <w:rFonts w:ascii="仿宋_GB2312" w:eastAsia="仿宋_GB2312" w:hAnsi="宋体" w:cs="Times New Roman"/>
          <w:color w:val="000000"/>
          <w:sz w:val="32"/>
          <w:szCs w:val="24"/>
        </w:rPr>
        <w:t>《</w:t>
      </w:r>
      <w:r>
        <w:rPr>
          <w:rFonts w:ascii="仿宋_GB2312" w:eastAsia="仿宋_GB2312" w:hAnsi="宋体" w:cs="Times New Roman" w:hint="eastAsia"/>
          <w:color w:val="000000"/>
          <w:sz w:val="32"/>
          <w:szCs w:val="24"/>
        </w:rPr>
        <w:t>联运通</w:t>
      </w:r>
      <w:r>
        <w:rPr>
          <w:rFonts w:ascii="仿宋_GB2312" w:eastAsia="仿宋_GB2312" w:hAnsi="宋体" w:cs="Times New Roman" w:hint="eastAsia"/>
          <w:color w:val="000000"/>
          <w:sz w:val="32"/>
          <w:szCs w:val="24"/>
        </w:rPr>
        <w:lastRenderedPageBreak/>
        <w:t>用平托盘木质平托盘</w:t>
      </w:r>
      <w:r w:rsidRPr="004273C8">
        <w:rPr>
          <w:rFonts w:ascii="仿宋_GB2312" w:eastAsia="仿宋_GB2312" w:hAnsi="宋体" w:cs="Times New Roman" w:hint="eastAsia"/>
          <w:color w:val="000000"/>
          <w:sz w:val="32"/>
          <w:szCs w:val="24"/>
        </w:rPr>
        <w:t>》</w:t>
      </w:r>
      <w:r w:rsidRPr="004273C8">
        <w:rPr>
          <w:rFonts w:ascii="仿宋_GB2312" w:eastAsia="仿宋_GB2312" w:hAnsi="宋体" w:cs="Times New Roman"/>
          <w:color w:val="000000"/>
          <w:sz w:val="32"/>
          <w:szCs w:val="24"/>
        </w:rPr>
        <w:t>的要求，根据</w:t>
      </w:r>
      <w:r w:rsidR="006F0CF2">
        <w:rPr>
          <w:rFonts w:ascii="仿宋_GB2312" w:eastAsia="仿宋_GB2312" w:hAnsi="宋体" w:cs="Times New Roman" w:hint="eastAsia"/>
          <w:color w:val="000000"/>
          <w:sz w:val="32"/>
          <w:szCs w:val="24"/>
        </w:rPr>
        <w:t>江西省物流</w:t>
      </w:r>
      <w:r w:rsidR="00904B90">
        <w:rPr>
          <w:rFonts w:ascii="仿宋_GB2312" w:eastAsia="仿宋_GB2312" w:hAnsi="宋体" w:cs="Times New Roman" w:hint="eastAsia"/>
          <w:color w:val="000000"/>
          <w:sz w:val="32"/>
          <w:szCs w:val="24"/>
        </w:rPr>
        <w:t>业实际情况及木质平托盘</w:t>
      </w:r>
      <w:r w:rsidR="006F0CF2">
        <w:rPr>
          <w:rFonts w:ascii="仿宋_GB2312" w:eastAsia="仿宋_GB2312" w:hAnsi="宋体" w:cs="Times New Roman" w:hint="eastAsia"/>
          <w:color w:val="000000"/>
          <w:sz w:val="32"/>
          <w:szCs w:val="24"/>
        </w:rPr>
        <w:t>相关标准</w:t>
      </w:r>
      <w:r w:rsidRPr="004273C8">
        <w:rPr>
          <w:rFonts w:ascii="仿宋_GB2312" w:eastAsia="仿宋_GB2312" w:hAnsi="宋体" w:cs="Times New Roman"/>
          <w:color w:val="000000"/>
          <w:sz w:val="32"/>
          <w:szCs w:val="24"/>
        </w:rPr>
        <w:t>制定了</w:t>
      </w:r>
      <w:r w:rsidRPr="004273C8">
        <w:rPr>
          <w:rFonts w:ascii="仿宋_GB2312" w:eastAsia="仿宋_GB2312" w:hAnsi="宋体" w:cs="Times New Roman" w:hint="eastAsia"/>
          <w:color w:val="000000"/>
          <w:sz w:val="32"/>
          <w:szCs w:val="24"/>
        </w:rPr>
        <w:t>本</w:t>
      </w:r>
      <w:r w:rsidR="006F0CF2">
        <w:rPr>
          <w:rFonts w:ascii="仿宋_GB2312" w:eastAsia="仿宋_GB2312" w:hAnsi="宋体" w:cs="Times New Roman" w:hint="eastAsia"/>
          <w:color w:val="000000"/>
          <w:sz w:val="32"/>
          <w:szCs w:val="24"/>
        </w:rPr>
        <w:t>技术规范</w:t>
      </w:r>
      <w:r w:rsidRPr="004273C8">
        <w:rPr>
          <w:rFonts w:ascii="仿宋_GB2312" w:eastAsia="仿宋_GB2312" w:hAnsi="宋体" w:cs="Times New Roman"/>
          <w:color w:val="000000"/>
          <w:sz w:val="32"/>
          <w:szCs w:val="24"/>
        </w:rPr>
        <w:t>。</w:t>
      </w:r>
    </w:p>
    <w:p w:rsidR="004273C8" w:rsidRDefault="00904B90" w:rsidP="004273C8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24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24"/>
        </w:rPr>
        <w:t>技术规范</w:t>
      </w:r>
      <w:r w:rsidR="004273C8" w:rsidRPr="004273C8">
        <w:rPr>
          <w:rFonts w:ascii="仿宋_GB2312" w:eastAsia="仿宋_GB2312" w:hAnsi="宋体" w:cs="Times New Roman" w:hint="eastAsia"/>
          <w:color w:val="000000"/>
          <w:sz w:val="32"/>
          <w:szCs w:val="24"/>
        </w:rPr>
        <w:t>制</w:t>
      </w:r>
      <w:r w:rsidR="004273C8" w:rsidRPr="004273C8">
        <w:rPr>
          <w:rFonts w:ascii="仿宋_GB2312" w:eastAsia="仿宋_GB2312" w:hAnsi="宋体" w:cs="Times New Roman"/>
          <w:color w:val="000000"/>
          <w:sz w:val="32"/>
          <w:szCs w:val="24"/>
        </w:rPr>
        <w:t>定的基本原则主要有</w:t>
      </w:r>
      <w:r w:rsidR="004273C8" w:rsidRPr="004273C8">
        <w:rPr>
          <w:rFonts w:ascii="仿宋_GB2312" w:eastAsia="仿宋_GB2312" w:hAnsi="宋体" w:cs="Times New Roman" w:hint="eastAsia"/>
          <w:color w:val="000000"/>
          <w:sz w:val="32"/>
          <w:szCs w:val="24"/>
        </w:rPr>
        <w:t>两</w:t>
      </w:r>
      <w:r w:rsidR="004273C8" w:rsidRPr="004273C8">
        <w:rPr>
          <w:rFonts w:ascii="仿宋_GB2312" w:eastAsia="仿宋_GB2312" w:hAnsi="宋体" w:cs="Times New Roman"/>
          <w:color w:val="000000"/>
          <w:sz w:val="32"/>
          <w:szCs w:val="24"/>
        </w:rPr>
        <w:t>条</w:t>
      </w:r>
      <w:r w:rsidR="004273C8" w:rsidRPr="004273C8">
        <w:rPr>
          <w:rFonts w:ascii="仿宋_GB2312" w:eastAsia="仿宋_GB2312" w:hAnsi="宋体" w:cs="Times New Roman" w:hint="eastAsia"/>
          <w:color w:val="000000"/>
          <w:sz w:val="32"/>
          <w:szCs w:val="24"/>
        </w:rPr>
        <w:t>。</w:t>
      </w:r>
      <w:r w:rsidR="004273C8" w:rsidRPr="004273C8">
        <w:rPr>
          <w:rFonts w:ascii="仿宋_GB2312" w:eastAsia="仿宋_GB2312" w:hAnsi="宋体" w:cs="Times New Roman"/>
          <w:color w:val="000000"/>
          <w:sz w:val="32"/>
          <w:szCs w:val="24"/>
        </w:rPr>
        <w:t>一</w:t>
      </w:r>
      <w:r w:rsidR="004273C8" w:rsidRPr="004273C8">
        <w:rPr>
          <w:rFonts w:ascii="仿宋_GB2312" w:eastAsia="仿宋_GB2312" w:hAnsi="宋体" w:cs="Times New Roman" w:hint="eastAsia"/>
          <w:color w:val="000000"/>
          <w:sz w:val="32"/>
          <w:szCs w:val="24"/>
        </w:rPr>
        <w:t>是坚持先进性、科学性和可操作性的协调统一。即编制出的标准要具有国内先进水平，确保能促进</w:t>
      </w:r>
      <w:r>
        <w:rPr>
          <w:rFonts w:ascii="仿宋_GB2312" w:eastAsia="仿宋_GB2312" w:hAnsi="宋体" w:cs="Times New Roman" w:hint="eastAsia"/>
          <w:color w:val="000000"/>
          <w:sz w:val="32"/>
          <w:szCs w:val="24"/>
        </w:rPr>
        <w:t>江西省物流业开放式循环木质平托盘</w:t>
      </w:r>
      <w:r w:rsidR="004273C8" w:rsidRPr="004273C8">
        <w:rPr>
          <w:rFonts w:ascii="仿宋_GB2312" w:eastAsia="仿宋_GB2312" w:hAnsi="宋体" w:cs="Times New Roman" w:hint="eastAsia"/>
          <w:color w:val="000000"/>
          <w:sz w:val="32"/>
          <w:szCs w:val="24"/>
        </w:rPr>
        <w:t>标准化和规范化，保证</w:t>
      </w:r>
      <w:r>
        <w:rPr>
          <w:rFonts w:ascii="仿宋_GB2312" w:eastAsia="仿宋_GB2312" w:hAnsi="宋体" w:cs="Times New Roman" w:hint="eastAsia"/>
          <w:color w:val="000000"/>
          <w:sz w:val="32"/>
          <w:szCs w:val="24"/>
        </w:rPr>
        <w:t>江西省开放式循环木质平托盘符合国家标准</w:t>
      </w:r>
      <w:r w:rsidR="004273C8" w:rsidRPr="004273C8">
        <w:rPr>
          <w:rFonts w:ascii="仿宋_GB2312" w:eastAsia="仿宋_GB2312" w:hAnsi="宋体" w:cs="Times New Roman" w:hint="eastAsia"/>
          <w:color w:val="000000"/>
          <w:sz w:val="32"/>
          <w:szCs w:val="24"/>
        </w:rPr>
        <w:t>；指标的确定要有科学依据，标准的技术内容应符合</w:t>
      </w:r>
      <w:r>
        <w:rPr>
          <w:rFonts w:ascii="仿宋_GB2312" w:eastAsia="仿宋_GB2312" w:hAnsi="宋体" w:cs="Times New Roman" w:hint="eastAsia"/>
          <w:color w:val="000000"/>
          <w:sz w:val="32"/>
          <w:szCs w:val="24"/>
        </w:rPr>
        <w:t>江西省物流业</w:t>
      </w:r>
      <w:r w:rsidR="004273C8" w:rsidRPr="004273C8">
        <w:rPr>
          <w:rFonts w:ascii="仿宋_GB2312" w:eastAsia="仿宋_GB2312" w:hAnsi="宋体" w:cs="Times New Roman" w:hint="eastAsia"/>
          <w:color w:val="000000"/>
          <w:sz w:val="32"/>
          <w:szCs w:val="24"/>
        </w:rPr>
        <w:t>实际情况，且简便易行，以利于贯彻执行。二坚持高标准、严要求。在编写过程中，我们采取了严肃认真的，注意反复推敲和斟酌，并广泛征求各方面专家意见。同</w:t>
      </w:r>
      <w:r w:rsidR="004273C8" w:rsidRPr="004273C8">
        <w:rPr>
          <w:rFonts w:ascii="仿宋_GB2312" w:eastAsia="仿宋_GB2312" w:hAnsi="宋体" w:cs="Times New Roman"/>
          <w:color w:val="000000"/>
          <w:sz w:val="32"/>
          <w:szCs w:val="24"/>
        </w:rPr>
        <w:t>时，</w:t>
      </w:r>
      <w:r w:rsidR="004273C8" w:rsidRPr="004273C8">
        <w:rPr>
          <w:rFonts w:ascii="仿宋_GB2312" w:eastAsia="仿宋_GB2312" w:hAnsi="宋体" w:cs="Times New Roman" w:hint="eastAsia"/>
          <w:color w:val="000000"/>
          <w:sz w:val="32"/>
          <w:szCs w:val="24"/>
        </w:rPr>
        <w:t>严格按照《</w:t>
      </w:r>
      <w:r w:rsidR="006F0CF2">
        <w:rPr>
          <w:rFonts w:ascii="仿宋_GB2312" w:eastAsia="仿宋_GB2312" w:hAnsi="宋体" w:cs="Times New Roman" w:hint="eastAsia"/>
          <w:color w:val="000000"/>
          <w:sz w:val="32"/>
          <w:szCs w:val="24"/>
        </w:rPr>
        <w:t>江西省标准化管理条例</w:t>
      </w:r>
      <w:r w:rsidR="004273C8" w:rsidRPr="004273C8">
        <w:rPr>
          <w:rFonts w:ascii="仿宋_GB2312" w:eastAsia="仿宋_GB2312" w:hAnsi="宋体" w:cs="Times New Roman" w:hint="eastAsia"/>
          <w:color w:val="000000"/>
          <w:sz w:val="32"/>
          <w:szCs w:val="24"/>
        </w:rPr>
        <w:t>》、《</w:t>
      </w:r>
      <w:r w:rsidR="006F0CF2">
        <w:rPr>
          <w:rFonts w:ascii="仿宋_GB2312" w:eastAsia="仿宋_GB2312" w:hAnsi="宋体" w:cs="Times New Roman" w:hint="eastAsia"/>
          <w:color w:val="000000"/>
          <w:sz w:val="32"/>
          <w:szCs w:val="24"/>
        </w:rPr>
        <w:t>地方标准管理办法</w:t>
      </w:r>
      <w:r w:rsidR="004273C8" w:rsidRPr="004273C8">
        <w:rPr>
          <w:rFonts w:ascii="仿宋_GB2312" w:eastAsia="仿宋_GB2312" w:hAnsi="宋体" w:cs="Times New Roman" w:hint="eastAsia"/>
          <w:color w:val="000000"/>
          <w:sz w:val="32"/>
          <w:szCs w:val="24"/>
        </w:rPr>
        <w:t>》等有关规定开</w:t>
      </w:r>
      <w:r w:rsidR="004273C8" w:rsidRPr="004273C8">
        <w:rPr>
          <w:rFonts w:ascii="仿宋_GB2312" w:eastAsia="仿宋_GB2312" w:hAnsi="宋体" w:cs="Times New Roman"/>
          <w:color w:val="000000"/>
          <w:sz w:val="32"/>
          <w:szCs w:val="24"/>
        </w:rPr>
        <w:t>展起草工作</w:t>
      </w:r>
      <w:r w:rsidR="004273C8" w:rsidRPr="004273C8">
        <w:rPr>
          <w:rFonts w:ascii="仿宋_GB2312" w:eastAsia="仿宋_GB2312" w:hAnsi="宋体" w:cs="Times New Roman" w:hint="eastAsia"/>
          <w:color w:val="000000"/>
          <w:sz w:val="32"/>
          <w:szCs w:val="24"/>
        </w:rPr>
        <w:t>。</w:t>
      </w:r>
    </w:p>
    <w:p w:rsidR="004660CA" w:rsidRPr="004273C8" w:rsidRDefault="004660CA" w:rsidP="004273C8">
      <w:pPr>
        <w:spacing w:line="560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24"/>
        </w:rPr>
      </w:pPr>
      <w:r w:rsidRPr="004660CA">
        <w:rPr>
          <w:rFonts w:ascii="黑体" w:eastAsia="黑体" w:hAnsi="黑体" w:cs="Times New Roman" w:hint="eastAsia"/>
          <w:color w:val="000000"/>
          <w:sz w:val="32"/>
          <w:szCs w:val="24"/>
        </w:rPr>
        <w:t>五、标准主要内容的说明</w:t>
      </w:r>
    </w:p>
    <w:p w:rsidR="004273C8" w:rsidRDefault="00C03329" w:rsidP="00C03329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（一）适用范围</w:t>
      </w:r>
    </w:p>
    <w:p w:rsidR="00C03329" w:rsidRPr="00C03329" w:rsidRDefault="00C03329" w:rsidP="00C03329">
      <w:pPr>
        <w:spacing w:line="360" w:lineRule="auto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24"/>
        </w:rPr>
      </w:pPr>
      <w:r w:rsidRPr="00C03329">
        <w:rPr>
          <w:rFonts w:ascii="仿宋_GB2312" w:eastAsia="仿宋_GB2312" w:hAnsi="宋体" w:cs="Times New Roman" w:hint="eastAsia"/>
          <w:color w:val="000000"/>
          <w:sz w:val="32"/>
          <w:szCs w:val="24"/>
        </w:rPr>
        <w:t>本</w:t>
      </w:r>
      <w:r w:rsidR="00384F97">
        <w:rPr>
          <w:rFonts w:ascii="仿宋_GB2312" w:eastAsia="仿宋_GB2312" w:hAnsi="宋体" w:cs="Times New Roman" w:hint="eastAsia"/>
          <w:color w:val="000000"/>
          <w:sz w:val="32"/>
          <w:szCs w:val="24"/>
        </w:rPr>
        <w:t>规范</w:t>
      </w:r>
      <w:r w:rsidRPr="00C03329">
        <w:rPr>
          <w:rFonts w:ascii="仿宋_GB2312" w:eastAsia="仿宋_GB2312" w:hAnsi="宋体" w:cs="Times New Roman" w:hint="eastAsia"/>
          <w:color w:val="000000"/>
          <w:sz w:val="32"/>
          <w:szCs w:val="24"/>
        </w:rPr>
        <w:t>规定了江西省开放式循环木质平托盘的</w:t>
      </w:r>
      <w:r w:rsidR="009C76A7">
        <w:rPr>
          <w:rFonts w:ascii="仿宋_GB2312" w:eastAsia="仿宋_GB2312" w:hAnsi="宋体" w:cs="Times New Roman" w:hint="eastAsia"/>
          <w:color w:val="000000"/>
          <w:sz w:val="32"/>
          <w:szCs w:val="24"/>
        </w:rPr>
        <w:t>结构、材质、尺寸、样式、要求</w:t>
      </w:r>
      <w:r w:rsidRPr="00C03329">
        <w:rPr>
          <w:rFonts w:ascii="仿宋_GB2312" w:eastAsia="仿宋_GB2312" w:hAnsi="宋体" w:cs="Times New Roman" w:hint="eastAsia"/>
          <w:color w:val="000000"/>
          <w:sz w:val="32"/>
          <w:szCs w:val="24"/>
        </w:rPr>
        <w:t>。</w:t>
      </w:r>
    </w:p>
    <w:p w:rsidR="00C03329" w:rsidRDefault="00C03329" w:rsidP="00C03329">
      <w:pPr>
        <w:spacing w:line="360" w:lineRule="auto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24"/>
        </w:rPr>
      </w:pPr>
      <w:r w:rsidRPr="00C03329">
        <w:rPr>
          <w:rFonts w:ascii="仿宋_GB2312" w:eastAsia="仿宋_GB2312" w:hAnsi="宋体" w:cs="Times New Roman" w:hint="eastAsia"/>
          <w:color w:val="000000"/>
          <w:sz w:val="32"/>
          <w:szCs w:val="24"/>
        </w:rPr>
        <w:t>本</w:t>
      </w:r>
      <w:r w:rsidR="00384F97">
        <w:rPr>
          <w:rFonts w:ascii="仿宋_GB2312" w:eastAsia="仿宋_GB2312" w:hAnsi="宋体" w:cs="Times New Roman" w:hint="eastAsia"/>
          <w:color w:val="000000"/>
          <w:sz w:val="32"/>
          <w:szCs w:val="24"/>
        </w:rPr>
        <w:t>规范</w:t>
      </w:r>
      <w:r w:rsidRPr="00C03329">
        <w:rPr>
          <w:rFonts w:ascii="仿宋_GB2312" w:eastAsia="仿宋_GB2312" w:hAnsi="宋体" w:cs="Times New Roman" w:hint="eastAsia"/>
          <w:color w:val="000000"/>
          <w:sz w:val="32"/>
          <w:szCs w:val="24"/>
        </w:rPr>
        <w:t>适用于江西省物流相关企业中反复使用的木质平托盘。</w:t>
      </w:r>
    </w:p>
    <w:p w:rsidR="00C03329" w:rsidRPr="00C03329" w:rsidRDefault="00C03329" w:rsidP="00C03329">
      <w:pPr>
        <w:spacing w:line="360" w:lineRule="auto"/>
        <w:ind w:firstLineChars="200" w:firstLine="640"/>
        <w:rPr>
          <w:rFonts w:ascii="黑体" w:eastAsia="黑体" w:hAnsi="黑体" w:cs="Times New Roman"/>
          <w:color w:val="000000"/>
          <w:sz w:val="32"/>
          <w:szCs w:val="24"/>
        </w:rPr>
      </w:pPr>
      <w:r w:rsidRPr="00C03329">
        <w:rPr>
          <w:rFonts w:ascii="黑体" w:eastAsia="黑体" w:hAnsi="黑体" w:cs="Times New Roman" w:hint="eastAsia"/>
          <w:color w:val="000000"/>
          <w:sz w:val="32"/>
          <w:szCs w:val="24"/>
        </w:rPr>
        <w:t>（二）样式</w:t>
      </w:r>
    </w:p>
    <w:p w:rsidR="00C03329" w:rsidRDefault="00384F97" w:rsidP="00C03329">
      <w:pPr>
        <w:spacing w:line="360" w:lineRule="auto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24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24"/>
        </w:rPr>
        <w:t>1.</w:t>
      </w:r>
      <w:r w:rsidR="00C03329">
        <w:rPr>
          <w:rFonts w:ascii="仿宋_GB2312" w:eastAsia="仿宋_GB2312" w:hAnsi="宋体" w:cs="Times New Roman" w:hint="eastAsia"/>
          <w:color w:val="000000"/>
          <w:sz w:val="32"/>
          <w:szCs w:val="24"/>
        </w:rPr>
        <w:t>川字A型：</w:t>
      </w:r>
      <w:r w:rsidR="00C03329" w:rsidRPr="00C03329">
        <w:rPr>
          <w:rFonts w:ascii="仿宋_GB2312" w:eastAsia="仿宋_GB2312" w:hAnsi="宋体" w:cs="Times New Roman" w:hint="eastAsia"/>
          <w:color w:val="000000"/>
          <w:sz w:val="32"/>
          <w:szCs w:val="24"/>
        </w:rPr>
        <w:t>托盘平面尺寸为1200mm×1000mm、单面使用、紧密对接边板</w:t>
      </w:r>
      <w:r w:rsidR="00C03329">
        <w:rPr>
          <w:rFonts w:ascii="仿宋_GB2312" w:eastAsia="仿宋_GB2312" w:hAnsi="宋体" w:cs="Times New Roman" w:hint="eastAsia"/>
          <w:color w:val="000000"/>
          <w:sz w:val="32"/>
          <w:szCs w:val="24"/>
        </w:rPr>
        <w:t>，</w:t>
      </w:r>
      <w:r w:rsidR="00C03329" w:rsidRPr="00C03329">
        <w:rPr>
          <w:rFonts w:ascii="仿宋_GB2312" w:eastAsia="仿宋_GB2312" w:hAnsi="宋体" w:cs="Times New Roman" w:hint="eastAsia"/>
          <w:color w:val="000000"/>
          <w:sz w:val="32"/>
          <w:szCs w:val="24"/>
        </w:rPr>
        <w:t>纵梁式两面进叉木质平托盘</w:t>
      </w:r>
      <w:r w:rsidR="00C03329">
        <w:rPr>
          <w:rFonts w:ascii="仿宋_GB2312" w:eastAsia="仿宋_GB2312" w:hAnsi="宋体" w:cs="Times New Roman" w:hint="eastAsia"/>
          <w:color w:val="000000"/>
          <w:sz w:val="32"/>
          <w:szCs w:val="24"/>
        </w:rPr>
        <w:t>；</w:t>
      </w:r>
    </w:p>
    <w:p w:rsidR="00C03329" w:rsidRDefault="00384F97" w:rsidP="00C03329">
      <w:pPr>
        <w:spacing w:line="360" w:lineRule="auto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24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24"/>
        </w:rPr>
        <w:t>2.</w:t>
      </w:r>
      <w:r w:rsidR="00C03329">
        <w:rPr>
          <w:rFonts w:ascii="仿宋_GB2312" w:eastAsia="仿宋_GB2312" w:hAnsi="宋体" w:cs="Times New Roman" w:hint="eastAsia"/>
          <w:color w:val="000000"/>
          <w:sz w:val="32"/>
          <w:szCs w:val="24"/>
        </w:rPr>
        <w:t>川字B型：</w:t>
      </w:r>
      <w:r w:rsidR="00C03329" w:rsidRPr="00C03329">
        <w:rPr>
          <w:rFonts w:ascii="仿宋_GB2312" w:eastAsia="仿宋_GB2312" w:hAnsi="宋体" w:cs="Times New Roman" w:hint="eastAsia"/>
          <w:color w:val="000000"/>
          <w:sz w:val="32"/>
          <w:szCs w:val="24"/>
        </w:rPr>
        <w:t>托盘平面尺寸为1200mm×1000mm、单面使用、紧密对接边板</w:t>
      </w:r>
      <w:r w:rsidR="00C03329">
        <w:rPr>
          <w:rFonts w:ascii="仿宋_GB2312" w:eastAsia="仿宋_GB2312" w:hAnsi="宋体" w:cs="Times New Roman" w:hint="eastAsia"/>
          <w:color w:val="000000"/>
          <w:sz w:val="32"/>
          <w:szCs w:val="24"/>
        </w:rPr>
        <w:t>，</w:t>
      </w:r>
      <w:r w:rsidR="00C03329" w:rsidRPr="00C03329">
        <w:rPr>
          <w:rFonts w:ascii="仿宋_GB2312" w:eastAsia="仿宋_GB2312" w:hAnsi="宋体" w:cs="Times New Roman" w:hint="eastAsia"/>
          <w:color w:val="000000"/>
          <w:sz w:val="32"/>
          <w:szCs w:val="24"/>
        </w:rPr>
        <w:t>九脚墩式四面进叉木质平托盘</w:t>
      </w:r>
      <w:r w:rsidR="00C03329">
        <w:rPr>
          <w:rFonts w:ascii="仿宋_GB2312" w:eastAsia="仿宋_GB2312" w:hAnsi="宋体" w:cs="Times New Roman" w:hint="eastAsia"/>
          <w:color w:val="000000"/>
          <w:sz w:val="32"/>
          <w:szCs w:val="24"/>
        </w:rPr>
        <w:t>;</w:t>
      </w:r>
    </w:p>
    <w:p w:rsidR="00C03329" w:rsidRDefault="00384F97" w:rsidP="00C03329">
      <w:pPr>
        <w:spacing w:line="360" w:lineRule="auto"/>
        <w:ind w:firstLineChars="200" w:firstLine="640"/>
        <w:rPr>
          <w:rFonts w:ascii="仿宋_GB2312" w:eastAsia="仿宋_GB2312" w:hAnsi="宋体" w:cs="Times New Roman"/>
          <w:color w:val="000000"/>
          <w:kern w:val="0"/>
          <w:sz w:val="32"/>
          <w:szCs w:val="24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24"/>
        </w:rPr>
        <w:lastRenderedPageBreak/>
        <w:t>3.</w:t>
      </w:r>
      <w:r w:rsidR="00C03329" w:rsidRPr="00C03329">
        <w:rPr>
          <w:rFonts w:ascii="仿宋_GB2312" w:eastAsia="仿宋_GB2312" w:hAnsi="宋体" w:cs="Times New Roman" w:hint="eastAsia"/>
          <w:color w:val="000000"/>
          <w:sz w:val="32"/>
          <w:szCs w:val="24"/>
        </w:rPr>
        <w:t>日字A型：托盘平面尺寸为1200mm×1000mm、单面使用、紧密对接边板</w:t>
      </w:r>
      <w:r w:rsidR="00C03329" w:rsidRPr="00C03329">
        <w:rPr>
          <w:rFonts w:ascii="仿宋_GB2312" w:eastAsia="仿宋_GB2312" w:hAnsi="宋体" w:hint="eastAsia"/>
          <w:color w:val="000000"/>
          <w:sz w:val="32"/>
          <w:szCs w:val="24"/>
        </w:rPr>
        <w:t>，</w:t>
      </w:r>
      <w:r w:rsidR="00C03329" w:rsidRPr="00C03329">
        <w:rPr>
          <w:rFonts w:ascii="仿宋_GB2312" w:eastAsia="仿宋_GB2312" w:hAnsi="宋体" w:cs="Times New Roman" w:hint="eastAsia"/>
          <w:color w:val="000000"/>
          <w:kern w:val="0"/>
          <w:sz w:val="32"/>
          <w:szCs w:val="24"/>
        </w:rPr>
        <w:t>四面进叉木质平托盘</w:t>
      </w:r>
      <w:r w:rsidR="00C03329">
        <w:rPr>
          <w:rFonts w:ascii="仿宋_GB2312" w:eastAsia="仿宋_GB2312" w:hAnsi="宋体" w:cs="Times New Roman" w:hint="eastAsia"/>
          <w:color w:val="000000"/>
          <w:kern w:val="0"/>
          <w:sz w:val="32"/>
          <w:szCs w:val="24"/>
        </w:rPr>
        <w:t>。</w:t>
      </w:r>
    </w:p>
    <w:p w:rsidR="007E403E" w:rsidRPr="007E403E" w:rsidRDefault="007E403E" w:rsidP="00C03329">
      <w:pPr>
        <w:spacing w:line="360" w:lineRule="auto"/>
        <w:ind w:firstLineChars="200" w:firstLine="640"/>
        <w:rPr>
          <w:rFonts w:ascii="黑体" w:eastAsia="黑体" w:hAnsi="黑体" w:cs="Times New Roman"/>
          <w:color w:val="000000"/>
          <w:kern w:val="0"/>
          <w:sz w:val="32"/>
          <w:szCs w:val="24"/>
        </w:rPr>
      </w:pPr>
      <w:r w:rsidRPr="007E403E">
        <w:rPr>
          <w:rFonts w:ascii="黑体" w:eastAsia="黑体" w:hAnsi="黑体" w:cs="Times New Roman" w:hint="eastAsia"/>
          <w:color w:val="000000"/>
          <w:kern w:val="0"/>
          <w:sz w:val="32"/>
          <w:szCs w:val="24"/>
        </w:rPr>
        <w:t>（三）尺寸及公差</w:t>
      </w:r>
    </w:p>
    <w:p w:rsidR="007E403E" w:rsidRDefault="007E403E" w:rsidP="007E403E">
      <w:pPr>
        <w:spacing w:line="360" w:lineRule="auto"/>
        <w:ind w:firstLineChars="200" w:firstLine="640"/>
        <w:rPr>
          <w:rFonts w:ascii="仿宋_GB2312" w:eastAsia="仿宋_GB2312" w:hAnsi="宋体" w:cs="Times New Roman"/>
          <w:color w:val="000000"/>
          <w:kern w:val="0"/>
          <w:sz w:val="32"/>
          <w:szCs w:val="24"/>
        </w:rPr>
      </w:pPr>
      <w:r w:rsidRPr="007E403E">
        <w:rPr>
          <w:rFonts w:ascii="仿宋_GB2312" w:eastAsia="仿宋_GB2312" w:hAnsi="宋体" w:cs="Times New Roman" w:hint="eastAsia"/>
          <w:color w:val="000000"/>
          <w:kern w:val="0"/>
          <w:sz w:val="32"/>
          <w:szCs w:val="24"/>
        </w:rPr>
        <w:t>开放式循环木质平托盘整体与各类型部件的尺寸及公差要求</w:t>
      </w:r>
      <w:r w:rsidR="009F2824">
        <w:rPr>
          <w:rFonts w:ascii="仿宋_GB2312" w:eastAsia="仿宋_GB2312" w:hAnsi="宋体" w:cs="Times New Roman" w:hint="eastAsia"/>
          <w:color w:val="000000"/>
          <w:kern w:val="0"/>
          <w:sz w:val="32"/>
          <w:szCs w:val="24"/>
        </w:rPr>
        <w:t>如下</w:t>
      </w:r>
      <w:r>
        <w:rPr>
          <w:rFonts w:ascii="仿宋_GB2312" w:eastAsia="仿宋_GB2312" w:hAnsi="宋体" w:cs="Times New Roman" w:hint="eastAsia"/>
          <w:color w:val="000000"/>
          <w:kern w:val="0"/>
          <w:sz w:val="32"/>
          <w:szCs w:val="24"/>
        </w:rPr>
        <w:t>。</w:t>
      </w:r>
    </w:p>
    <w:tbl>
      <w:tblPr>
        <w:tblW w:w="4703" w:type="pct"/>
        <w:jc w:val="center"/>
        <w:tblInd w:w="3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3"/>
        <w:gridCol w:w="1419"/>
        <w:gridCol w:w="5384"/>
      </w:tblGrid>
      <w:tr w:rsidR="00F12B5A" w:rsidRPr="00802463" w:rsidTr="00F12B5A">
        <w:trPr>
          <w:trHeight w:val="567"/>
          <w:jc w:val="center"/>
        </w:trPr>
        <w:tc>
          <w:tcPr>
            <w:tcW w:w="7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12B5A" w:rsidRPr="00F12B5A" w:rsidRDefault="00F12B5A" w:rsidP="00593067">
            <w:pPr>
              <w:spacing w:line="400" w:lineRule="exact"/>
              <w:jc w:val="center"/>
              <w:rPr>
                <w:rFonts w:ascii="宋体" w:hAnsi="宋体"/>
                <w:sz w:val="24"/>
                <w:szCs w:val="18"/>
              </w:rPr>
            </w:pPr>
            <w:r w:rsidRPr="00F12B5A">
              <w:rPr>
                <w:rFonts w:ascii="宋体" w:hAnsi="宋体" w:hint="eastAsia"/>
                <w:sz w:val="24"/>
                <w:szCs w:val="18"/>
              </w:rPr>
              <w:t>名称</w:t>
            </w:r>
          </w:p>
        </w:tc>
        <w:tc>
          <w:tcPr>
            <w:tcW w:w="88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12B5A" w:rsidRPr="00F12B5A" w:rsidRDefault="00F12B5A" w:rsidP="00593067">
            <w:pPr>
              <w:spacing w:line="400" w:lineRule="exact"/>
              <w:jc w:val="center"/>
              <w:rPr>
                <w:rFonts w:ascii="宋体" w:hAnsi="宋体"/>
                <w:sz w:val="24"/>
                <w:szCs w:val="18"/>
              </w:rPr>
            </w:pPr>
            <w:r w:rsidRPr="00F12B5A">
              <w:rPr>
                <w:rFonts w:ascii="宋体" w:hAnsi="宋体" w:hint="eastAsia"/>
                <w:sz w:val="24"/>
                <w:szCs w:val="18"/>
              </w:rPr>
              <w:t>分类</w:t>
            </w:r>
          </w:p>
        </w:tc>
        <w:tc>
          <w:tcPr>
            <w:tcW w:w="33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12B5A" w:rsidRPr="00F12B5A" w:rsidRDefault="00F12B5A" w:rsidP="00593067">
            <w:pPr>
              <w:spacing w:line="400" w:lineRule="exact"/>
              <w:jc w:val="center"/>
              <w:rPr>
                <w:rFonts w:ascii="宋体" w:hAnsi="宋体"/>
                <w:sz w:val="24"/>
                <w:szCs w:val="18"/>
              </w:rPr>
            </w:pPr>
            <w:r w:rsidRPr="00F12B5A">
              <w:rPr>
                <w:rFonts w:ascii="宋体" w:hAnsi="宋体" w:hint="eastAsia"/>
                <w:sz w:val="24"/>
                <w:szCs w:val="18"/>
              </w:rPr>
              <w:t>公差</w:t>
            </w:r>
          </w:p>
        </w:tc>
      </w:tr>
      <w:tr w:rsidR="00F12B5A" w:rsidRPr="00802463" w:rsidTr="00F12B5A">
        <w:trPr>
          <w:trHeight w:val="567"/>
          <w:jc w:val="center"/>
        </w:trPr>
        <w:tc>
          <w:tcPr>
            <w:tcW w:w="75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12B5A" w:rsidRPr="00F12B5A" w:rsidRDefault="00F12B5A" w:rsidP="00593067">
            <w:pPr>
              <w:spacing w:line="400" w:lineRule="exact"/>
              <w:jc w:val="center"/>
              <w:rPr>
                <w:rFonts w:ascii="宋体" w:hAnsi="宋体"/>
                <w:sz w:val="24"/>
                <w:szCs w:val="18"/>
              </w:rPr>
            </w:pPr>
            <w:r w:rsidRPr="00F12B5A">
              <w:rPr>
                <w:rFonts w:ascii="宋体" w:hAnsi="宋体" w:hint="eastAsia"/>
                <w:sz w:val="24"/>
                <w:szCs w:val="18"/>
              </w:rPr>
              <w:t>平面尺寸</w:t>
            </w:r>
          </w:p>
        </w:tc>
        <w:tc>
          <w:tcPr>
            <w:tcW w:w="885" w:type="pct"/>
            <w:tcBorders>
              <w:top w:val="single" w:sz="8" w:space="0" w:color="auto"/>
            </w:tcBorders>
            <w:vAlign w:val="center"/>
          </w:tcPr>
          <w:p w:rsidR="00F12B5A" w:rsidRPr="00F12B5A" w:rsidRDefault="00F12B5A" w:rsidP="00593067">
            <w:pPr>
              <w:spacing w:line="400" w:lineRule="exact"/>
              <w:jc w:val="center"/>
              <w:rPr>
                <w:rFonts w:ascii="宋体" w:hAnsi="宋体"/>
                <w:sz w:val="24"/>
                <w:szCs w:val="18"/>
              </w:rPr>
            </w:pPr>
            <w:r w:rsidRPr="00F12B5A">
              <w:rPr>
                <w:rFonts w:ascii="宋体" w:hAnsi="宋体" w:hint="eastAsia"/>
                <w:sz w:val="24"/>
                <w:szCs w:val="18"/>
              </w:rPr>
              <w:t>通用</w:t>
            </w:r>
          </w:p>
        </w:tc>
        <w:tc>
          <w:tcPr>
            <w:tcW w:w="335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12B5A" w:rsidRPr="00F12B5A" w:rsidRDefault="00F12B5A" w:rsidP="00593067">
            <w:pPr>
              <w:spacing w:line="400" w:lineRule="exact"/>
              <w:rPr>
                <w:rFonts w:ascii="宋体" w:hAnsi="宋体"/>
                <w:sz w:val="24"/>
                <w:szCs w:val="18"/>
              </w:rPr>
            </w:pPr>
            <w:r w:rsidRPr="00F12B5A">
              <w:rPr>
                <w:rFonts w:ascii="宋体" w:hAnsi="宋体" w:hint="eastAsia"/>
                <w:sz w:val="24"/>
                <w:szCs w:val="18"/>
              </w:rPr>
              <w:t>长*宽：1200 * 1000</w:t>
            </w:r>
            <w:r w:rsidRPr="00F12B5A">
              <w:rPr>
                <w:rFonts w:ascii="宋体" w:hAnsi="宋体" w:hint="eastAsia"/>
                <w:color w:val="000000"/>
                <w:sz w:val="24"/>
                <w:szCs w:val="18"/>
                <w:eastAsianLayout w:id="1396870656" w:combine="1"/>
              </w:rPr>
              <w:t>+3 -6</w:t>
            </w:r>
            <w:r w:rsidRPr="00F12B5A">
              <w:rPr>
                <w:rFonts w:ascii="宋体" w:hAnsi="宋体" w:hint="eastAsia"/>
                <w:color w:val="000000"/>
                <w:sz w:val="24"/>
                <w:szCs w:val="18"/>
              </w:rPr>
              <w:t xml:space="preserve"> </w:t>
            </w:r>
            <w:r w:rsidRPr="00F12B5A">
              <w:rPr>
                <w:rFonts w:ascii="宋体" w:hAnsi="宋体" w:hint="eastAsia"/>
                <w:sz w:val="24"/>
                <w:szCs w:val="18"/>
              </w:rPr>
              <w:t>mm</w:t>
            </w:r>
          </w:p>
        </w:tc>
      </w:tr>
      <w:tr w:rsidR="00F12B5A" w:rsidRPr="00802463" w:rsidTr="00F12B5A">
        <w:trPr>
          <w:trHeight w:val="567"/>
          <w:jc w:val="center"/>
        </w:trPr>
        <w:tc>
          <w:tcPr>
            <w:tcW w:w="757" w:type="pct"/>
            <w:shd w:val="clear" w:color="auto" w:fill="auto"/>
            <w:vAlign w:val="center"/>
          </w:tcPr>
          <w:p w:rsidR="00F12B5A" w:rsidRPr="00F12B5A" w:rsidRDefault="00F12B5A" w:rsidP="00593067">
            <w:pPr>
              <w:spacing w:line="400" w:lineRule="exact"/>
              <w:jc w:val="center"/>
              <w:rPr>
                <w:rFonts w:ascii="宋体" w:hAnsi="宋体"/>
                <w:sz w:val="24"/>
                <w:szCs w:val="18"/>
              </w:rPr>
            </w:pPr>
            <w:r w:rsidRPr="00F12B5A">
              <w:rPr>
                <w:rFonts w:ascii="宋体" w:hAnsi="宋体" w:hint="eastAsia"/>
                <w:sz w:val="24"/>
                <w:szCs w:val="18"/>
              </w:rPr>
              <w:t>铺板条</w:t>
            </w:r>
          </w:p>
        </w:tc>
        <w:tc>
          <w:tcPr>
            <w:tcW w:w="885" w:type="pct"/>
            <w:vAlign w:val="center"/>
          </w:tcPr>
          <w:p w:rsidR="00F12B5A" w:rsidRPr="00F12B5A" w:rsidRDefault="00F12B5A" w:rsidP="00593067">
            <w:pPr>
              <w:spacing w:line="400" w:lineRule="exact"/>
              <w:jc w:val="center"/>
              <w:rPr>
                <w:rFonts w:ascii="宋体" w:hAnsi="宋体"/>
                <w:sz w:val="24"/>
                <w:szCs w:val="18"/>
              </w:rPr>
            </w:pPr>
            <w:r w:rsidRPr="00F12B5A">
              <w:rPr>
                <w:rFonts w:ascii="宋体" w:hAnsi="宋体" w:hint="eastAsia"/>
                <w:sz w:val="24"/>
                <w:szCs w:val="18"/>
              </w:rPr>
              <w:t>通用</w:t>
            </w:r>
          </w:p>
        </w:tc>
        <w:tc>
          <w:tcPr>
            <w:tcW w:w="3358" w:type="pct"/>
            <w:shd w:val="clear" w:color="auto" w:fill="auto"/>
            <w:vAlign w:val="center"/>
          </w:tcPr>
          <w:p w:rsidR="00F12B5A" w:rsidRPr="00F12B5A" w:rsidRDefault="00F12B5A" w:rsidP="00593067">
            <w:pPr>
              <w:spacing w:line="400" w:lineRule="exact"/>
              <w:rPr>
                <w:rFonts w:ascii="宋体" w:hAnsi="宋体"/>
                <w:sz w:val="24"/>
                <w:szCs w:val="18"/>
              </w:rPr>
            </w:pPr>
            <w:r w:rsidRPr="00F12B5A">
              <w:rPr>
                <w:rFonts w:ascii="宋体" w:hAnsi="宋体" w:hint="eastAsia"/>
                <w:sz w:val="24"/>
                <w:szCs w:val="18"/>
              </w:rPr>
              <w:t>长*宽*高：1000</w:t>
            </w:r>
            <w:r w:rsidRPr="00F12B5A">
              <w:rPr>
                <w:rFonts w:ascii="宋体" w:hAnsi="宋体" w:hint="eastAsia"/>
                <w:color w:val="000000"/>
                <w:sz w:val="24"/>
                <w:szCs w:val="18"/>
                <w:eastAsianLayout w:id="1396870656" w:combine="1"/>
              </w:rPr>
              <w:t>+3 -6</w:t>
            </w:r>
            <w:r w:rsidRPr="00F12B5A">
              <w:rPr>
                <w:rFonts w:ascii="宋体" w:hAnsi="宋体" w:hint="eastAsia"/>
                <w:color w:val="000000"/>
                <w:sz w:val="24"/>
                <w:szCs w:val="18"/>
              </w:rPr>
              <w:t xml:space="preserve"> </w:t>
            </w:r>
            <w:r w:rsidRPr="00F12B5A">
              <w:rPr>
                <w:rFonts w:ascii="宋体" w:hAnsi="宋体" w:hint="eastAsia"/>
                <w:sz w:val="24"/>
                <w:szCs w:val="18"/>
              </w:rPr>
              <w:t>* 90</w:t>
            </w:r>
            <w:r w:rsidRPr="00F12B5A">
              <w:rPr>
                <w:rFonts w:ascii="宋体" w:hAnsi="宋体" w:hint="eastAsia"/>
                <w:color w:val="000000"/>
                <w:sz w:val="24"/>
                <w:szCs w:val="18"/>
                <w:eastAsianLayout w:id="1396870656" w:combine="1"/>
              </w:rPr>
              <w:t>+2 -2</w:t>
            </w:r>
            <w:r w:rsidRPr="00F12B5A">
              <w:rPr>
                <w:rFonts w:ascii="宋体" w:hAnsi="宋体" w:hint="eastAsia"/>
                <w:color w:val="000000"/>
                <w:sz w:val="24"/>
                <w:szCs w:val="18"/>
              </w:rPr>
              <w:t xml:space="preserve"> </w:t>
            </w:r>
            <w:r w:rsidRPr="00F12B5A">
              <w:rPr>
                <w:rFonts w:ascii="宋体" w:hAnsi="宋体" w:hint="eastAsia"/>
                <w:sz w:val="24"/>
                <w:szCs w:val="18"/>
              </w:rPr>
              <w:t>* 20</w:t>
            </w:r>
            <w:r w:rsidRPr="00F12B5A">
              <w:rPr>
                <w:rFonts w:ascii="宋体" w:hAnsi="宋体" w:hint="eastAsia"/>
                <w:color w:val="000000"/>
                <w:sz w:val="24"/>
                <w:szCs w:val="18"/>
                <w:eastAsianLayout w:id="1396870656" w:combine="1"/>
              </w:rPr>
              <w:t>+2 0</w:t>
            </w:r>
            <w:r w:rsidRPr="00F12B5A">
              <w:rPr>
                <w:rFonts w:ascii="宋体" w:hAnsi="宋体" w:hint="eastAsia"/>
                <w:color w:val="000000"/>
                <w:sz w:val="24"/>
                <w:szCs w:val="18"/>
              </w:rPr>
              <w:t xml:space="preserve"> mm</w:t>
            </w:r>
          </w:p>
        </w:tc>
      </w:tr>
      <w:tr w:rsidR="00F12B5A" w:rsidRPr="00802463" w:rsidTr="00F12B5A">
        <w:trPr>
          <w:trHeight w:val="567"/>
          <w:jc w:val="center"/>
        </w:trPr>
        <w:tc>
          <w:tcPr>
            <w:tcW w:w="757" w:type="pct"/>
            <w:shd w:val="clear" w:color="auto" w:fill="auto"/>
            <w:vAlign w:val="center"/>
          </w:tcPr>
          <w:p w:rsidR="00F12B5A" w:rsidRPr="00F12B5A" w:rsidRDefault="00F12B5A" w:rsidP="00593067">
            <w:pPr>
              <w:spacing w:line="400" w:lineRule="exact"/>
              <w:jc w:val="center"/>
              <w:rPr>
                <w:rFonts w:ascii="宋体" w:hAnsi="宋体"/>
                <w:sz w:val="24"/>
                <w:szCs w:val="18"/>
              </w:rPr>
            </w:pPr>
            <w:r w:rsidRPr="00F12B5A">
              <w:rPr>
                <w:rFonts w:ascii="宋体" w:hAnsi="宋体" w:hint="eastAsia"/>
                <w:sz w:val="24"/>
                <w:szCs w:val="18"/>
              </w:rPr>
              <w:t>纵梁板</w:t>
            </w:r>
          </w:p>
        </w:tc>
        <w:tc>
          <w:tcPr>
            <w:tcW w:w="885" w:type="pct"/>
            <w:vAlign w:val="center"/>
          </w:tcPr>
          <w:p w:rsidR="00F12B5A" w:rsidRPr="00F12B5A" w:rsidRDefault="00F12B5A" w:rsidP="00593067">
            <w:pPr>
              <w:spacing w:line="400" w:lineRule="exact"/>
              <w:jc w:val="center"/>
              <w:rPr>
                <w:rFonts w:ascii="宋体" w:hAnsi="宋体"/>
                <w:sz w:val="24"/>
                <w:szCs w:val="18"/>
              </w:rPr>
            </w:pPr>
            <w:r w:rsidRPr="00F12B5A">
              <w:rPr>
                <w:rFonts w:ascii="宋体" w:hAnsi="宋体" w:hint="eastAsia"/>
                <w:sz w:val="24"/>
                <w:szCs w:val="18"/>
              </w:rPr>
              <w:t>川字B型</w:t>
            </w:r>
          </w:p>
          <w:p w:rsidR="00F12B5A" w:rsidRPr="00F12B5A" w:rsidRDefault="00F12B5A" w:rsidP="00593067">
            <w:pPr>
              <w:spacing w:line="400" w:lineRule="exact"/>
              <w:jc w:val="center"/>
              <w:rPr>
                <w:rFonts w:ascii="宋体" w:hAnsi="宋体"/>
                <w:sz w:val="24"/>
                <w:szCs w:val="18"/>
              </w:rPr>
            </w:pPr>
            <w:r w:rsidRPr="00F12B5A">
              <w:rPr>
                <w:rFonts w:ascii="宋体" w:hAnsi="宋体" w:hint="eastAsia"/>
                <w:sz w:val="24"/>
                <w:szCs w:val="18"/>
              </w:rPr>
              <w:t>日字A型</w:t>
            </w:r>
          </w:p>
        </w:tc>
        <w:tc>
          <w:tcPr>
            <w:tcW w:w="3358" w:type="pct"/>
            <w:shd w:val="clear" w:color="auto" w:fill="auto"/>
            <w:vAlign w:val="center"/>
          </w:tcPr>
          <w:p w:rsidR="00F12B5A" w:rsidRPr="00F12B5A" w:rsidRDefault="00F12B5A" w:rsidP="00593067">
            <w:pPr>
              <w:spacing w:line="400" w:lineRule="exact"/>
              <w:rPr>
                <w:rFonts w:ascii="宋体" w:hAnsi="宋体"/>
                <w:sz w:val="24"/>
                <w:szCs w:val="18"/>
              </w:rPr>
            </w:pPr>
            <w:r w:rsidRPr="00F12B5A">
              <w:rPr>
                <w:rFonts w:ascii="宋体" w:hAnsi="宋体" w:hint="eastAsia"/>
                <w:sz w:val="24"/>
                <w:szCs w:val="18"/>
              </w:rPr>
              <w:t>长*宽*高：1200</w:t>
            </w:r>
            <w:r w:rsidRPr="00F12B5A">
              <w:rPr>
                <w:rFonts w:ascii="宋体" w:hAnsi="宋体" w:hint="eastAsia"/>
                <w:color w:val="000000"/>
                <w:sz w:val="24"/>
                <w:szCs w:val="18"/>
                <w:eastAsianLayout w:id="1396870656" w:combine="1"/>
              </w:rPr>
              <w:t>+3 -6</w:t>
            </w:r>
            <w:r w:rsidRPr="00F12B5A">
              <w:rPr>
                <w:rFonts w:ascii="宋体" w:hAnsi="宋体" w:hint="eastAsia"/>
                <w:color w:val="000000"/>
                <w:sz w:val="24"/>
                <w:szCs w:val="18"/>
              </w:rPr>
              <w:t xml:space="preserve"> * 90</w:t>
            </w:r>
            <w:r w:rsidRPr="00F12B5A">
              <w:rPr>
                <w:rFonts w:ascii="宋体" w:hAnsi="宋体" w:hint="eastAsia"/>
                <w:color w:val="000000"/>
                <w:sz w:val="24"/>
                <w:szCs w:val="18"/>
                <w:eastAsianLayout w:id="1396870656" w:combine="1"/>
              </w:rPr>
              <w:t>+2 -2</w:t>
            </w:r>
            <w:r w:rsidRPr="00F12B5A">
              <w:rPr>
                <w:rFonts w:ascii="宋体" w:hAnsi="宋体" w:hint="eastAsia"/>
                <w:color w:val="000000"/>
                <w:sz w:val="24"/>
                <w:szCs w:val="18"/>
              </w:rPr>
              <w:t xml:space="preserve"> * </w:t>
            </w:r>
            <w:r w:rsidRPr="00F12B5A">
              <w:rPr>
                <w:rFonts w:ascii="宋体" w:hAnsi="宋体" w:hint="eastAsia"/>
                <w:sz w:val="24"/>
                <w:szCs w:val="18"/>
              </w:rPr>
              <w:t>23</w:t>
            </w:r>
            <w:r w:rsidRPr="00F12B5A">
              <w:rPr>
                <w:rFonts w:ascii="宋体" w:hAnsi="宋体" w:hint="eastAsia"/>
                <w:color w:val="000000"/>
                <w:sz w:val="24"/>
                <w:szCs w:val="18"/>
                <w:eastAsianLayout w:id="1396870656" w:combine="1"/>
              </w:rPr>
              <w:t>+2 0</w:t>
            </w:r>
            <w:r w:rsidRPr="00F12B5A">
              <w:rPr>
                <w:rFonts w:ascii="宋体" w:hAnsi="宋体" w:hint="eastAsia"/>
                <w:color w:val="000000"/>
                <w:sz w:val="24"/>
                <w:szCs w:val="18"/>
              </w:rPr>
              <w:t xml:space="preserve"> mm</w:t>
            </w:r>
          </w:p>
        </w:tc>
      </w:tr>
      <w:tr w:rsidR="00F12B5A" w:rsidRPr="00802463" w:rsidTr="00F12B5A">
        <w:trPr>
          <w:trHeight w:val="567"/>
          <w:jc w:val="center"/>
        </w:trPr>
        <w:tc>
          <w:tcPr>
            <w:tcW w:w="757" w:type="pct"/>
            <w:shd w:val="clear" w:color="auto" w:fill="auto"/>
            <w:vAlign w:val="center"/>
          </w:tcPr>
          <w:p w:rsidR="00F12B5A" w:rsidRPr="00F12B5A" w:rsidRDefault="00F12B5A" w:rsidP="00593067">
            <w:pPr>
              <w:spacing w:line="400" w:lineRule="exact"/>
              <w:jc w:val="center"/>
              <w:rPr>
                <w:rFonts w:ascii="宋体" w:hAnsi="宋体"/>
                <w:sz w:val="24"/>
                <w:szCs w:val="18"/>
              </w:rPr>
            </w:pPr>
            <w:r w:rsidRPr="00F12B5A">
              <w:rPr>
                <w:rFonts w:ascii="宋体" w:hAnsi="宋体" w:hint="eastAsia"/>
                <w:sz w:val="24"/>
                <w:szCs w:val="18"/>
              </w:rPr>
              <w:t>纵梁</w:t>
            </w:r>
          </w:p>
        </w:tc>
        <w:tc>
          <w:tcPr>
            <w:tcW w:w="885" w:type="pct"/>
            <w:vAlign w:val="center"/>
          </w:tcPr>
          <w:p w:rsidR="00F12B5A" w:rsidRPr="00F12B5A" w:rsidRDefault="00F12B5A" w:rsidP="00593067">
            <w:pPr>
              <w:spacing w:line="400" w:lineRule="exact"/>
              <w:jc w:val="center"/>
              <w:rPr>
                <w:rFonts w:ascii="宋体" w:hAnsi="宋体"/>
                <w:sz w:val="24"/>
                <w:szCs w:val="18"/>
              </w:rPr>
            </w:pPr>
            <w:r w:rsidRPr="00F12B5A">
              <w:rPr>
                <w:rFonts w:ascii="宋体" w:hAnsi="宋体" w:hint="eastAsia"/>
                <w:sz w:val="24"/>
                <w:szCs w:val="18"/>
              </w:rPr>
              <w:t>川字A型</w:t>
            </w:r>
          </w:p>
        </w:tc>
        <w:tc>
          <w:tcPr>
            <w:tcW w:w="3358" w:type="pct"/>
            <w:shd w:val="clear" w:color="auto" w:fill="auto"/>
            <w:vAlign w:val="center"/>
          </w:tcPr>
          <w:p w:rsidR="00F12B5A" w:rsidRPr="00F12B5A" w:rsidRDefault="00F12B5A" w:rsidP="00593067">
            <w:pPr>
              <w:spacing w:line="400" w:lineRule="exact"/>
              <w:rPr>
                <w:rFonts w:ascii="宋体" w:hAnsi="宋体"/>
                <w:sz w:val="24"/>
                <w:szCs w:val="18"/>
              </w:rPr>
            </w:pPr>
            <w:r w:rsidRPr="00F12B5A">
              <w:rPr>
                <w:rFonts w:ascii="宋体" w:hAnsi="宋体" w:hint="eastAsia"/>
                <w:sz w:val="24"/>
                <w:szCs w:val="18"/>
              </w:rPr>
              <w:t>长*宽*高：1200</w:t>
            </w:r>
            <w:r w:rsidRPr="00F12B5A">
              <w:rPr>
                <w:rFonts w:ascii="宋体" w:hAnsi="宋体" w:hint="eastAsia"/>
                <w:color w:val="000000"/>
                <w:sz w:val="24"/>
                <w:szCs w:val="18"/>
                <w:eastAsianLayout w:id="1396870656" w:combine="1"/>
              </w:rPr>
              <w:t>+3 -6</w:t>
            </w:r>
            <w:r w:rsidRPr="00F12B5A">
              <w:rPr>
                <w:rFonts w:ascii="宋体" w:hAnsi="宋体" w:hint="eastAsia"/>
                <w:color w:val="000000"/>
                <w:sz w:val="24"/>
                <w:szCs w:val="18"/>
              </w:rPr>
              <w:t xml:space="preserve"> * 50</w:t>
            </w:r>
            <w:r w:rsidRPr="00F12B5A">
              <w:rPr>
                <w:rFonts w:ascii="宋体" w:hAnsi="宋体" w:hint="eastAsia"/>
                <w:color w:val="000000"/>
                <w:sz w:val="24"/>
                <w:szCs w:val="18"/>
                <w:eastAsianLayout w:id="1396870656" w:combine="1"/>
              </w:rPr>
              <w:t>+2 -2</w:t>
            </w:r>
            <w:r w:rsidRPr="00F12B5A">
              <w:rPr>
                <w:rFonts w:ascii="宋体" w:hAnsi="宋体" w:hint="eastAsia"/>
                <w:color w:val="000000"/>
                <w:sz w:val="24"/>
                <w:szCs w:val="18"/>
              </w:rPr>
              <w:t xml:space="preserve"> * </w:t>
            </w:r>
            <w:r w:rsidRPr="00F12B5A">
              <w:rPr>
                <w:rFonts w:ascii="宋体" w:hAnsi="宋体" w:hint="eastAsia"/>
                <w:sz w:val="24"/>
                <w:szCs w:val="18"/>
              </w:rPr>
              <w:t>100</w:t>
            </w:r>
            <w:r w:rsidRPr="00F12B5A">
              <w:rPr>
                <w:rFonts w:ascii="宋体" w:hAnsi="宋体" w:hint="eastAsia"/>
                <w:color w:val="000000"/>
                <w:sz w:val="24"/>
                <w:szCs w:val="18"/>
                <w:eastAsianLayout w:id="1396870656" w:combine="1"/>
              </w:rPr>
              <w:t>+1 -1</w:t>
            </w:r>
            <w:r w:rsidRPr="00F12B5A">
              <w:rPr>
                <w:rFonts w:ascii="宋体" w:hAnsi="宋体" w:hint="eastAsia"/>
                <w:color w:val="000000"/>
                <w:sz w:val="24"/>
                <w:szCs w:val="18"/>
              </w:rPr>
              <w:t xml:space="preserve"> mm</w:t>
            </w:r>
          </w:p>
        </w:tc>
      </w:tr>
      <w:tr w:rsidR="00F12B5A" w:rsidRPr="00802463" w:rsidTr="00F12B5A">
        <w:trPr>
          <w:trHeight w:val="567"/>
          <w:jc w:val="center"/>
        </w:trPr>
        <w:tc>
          <w:tcPr>
            <w:tcW w:w="757" w:type="pct"/>
            <w:vMerge w:val="restart"/>
            <w:shd w:val="clear" w:color="auto" w:fill="auto"/>
            <w:vAlign w:val="center"/>
          </w:tcPr>
          <w:p w:rsidR="00F12B5A" w:rsidRPr="00F12B5A" w:rsidRDefault="00F12B5A" w:rsidP="00593067">
            <w:pPr>
              <w:spacing w:line="400" w:lineRule="exact"/>
              <w:jc w:val="center"/>
              <w:rPr>
                <w:rFonts w:ascii="宋体" w:hAnsi="宋体"/>
                <w:sz w:val="24"/>
                <w:szCs w:val="18"/>
              </w:rPr>
            </w:pPr>
            <w:r w:rsidRPr="00F12B5A">
              <w:rPr>
                <w:rFonts w:ascii="宋体" w:hAnsi="宋体" w:hint="eastAsia"/>
                <w:sz w:val="24"/>
                <w:szCs w:val="18"/>
              </w:rPr>
              <w:t>垫块</w:t>
            </w:r>
          </w:p>
        </w:tc>
        <w:tc>
          <w:tcPr>
            <w:tcW w:w="885" w:type="pct"/>
            <w:vAlign w:val="center"/>
          </w:tcPr>
          <w:p w:rsidR="00F12B5A" w:rsidRPr="00F12B5A" w:rsidRDefault="00F12B5A" w:rsidP="00593067">
            <w:pPr>
              <w:jc w:val="center"/>
              <w:rPr>
                <w:rFonts w:ascii="宋体" w:hAnsi="宋体"/>
                <w:sz w:val="24"/>
                <w:szCs w:val="18"/>
              </w:rPr>
            </w:pPr>
            <w:r w:rsidRPr="00F12B5A">
              <w:rPr>
                <w:rFonts w:ascii="宋体" w:hAnsi="宋体" w:hint="eastAsia"/>
                <w:sz w:val="24"/>
                <w:szCs w:val="18"/>
              </w:rPr>
              <w:t>四周</w:t>
            </w:r>
          </w:p>
          <w:p w:rsidR="00F12B5A" w:rsidRPr="00F12B5A" w:rsidRDefault="00F12B5A" w:rsidP="00593067">
            <w:pPr>
              <w:jc w:val="center"/>
              <w:rPr>
                <w:rFonts w:ascii="宋体" w:hAnsi="宋体"/>
                <w:sz w:val="24"/>
                <w:szCs w:val="18"/>
              </w:rPr>
            </w:pPr>
            <w:r w:rsidRPr="00F12B5A">
              <w:rPr>
                <w:rFonts w:ascii="宋体" w:hAnsi="宋体" w:hint="eastAsia"/>
                <w:sz w:val="24"/>
                <w:szCs w:val="18"/>
              </w:rPr>
              <w:t>（共6块）</w:t>
            </w:r>
          </w:p>
        </w:tc>
        <w:tc>
          <w:tcPr>
            <w:tcW w:w="3358" w:type="pct"/>
            <w:shd w:val="clear" w:color="auto" w:fill="auto"/>
            <w:vAlign w:val="center"/>
          </w:tcPr>
          <w:p w:rsidR="00F12B5A" w:rsidRPr="00F12B5A" w:rsidRDefault="00F12B5A" w:rsidP="00593067">
            <w:pPr>
              <w:spacing w:line="400" w:lineRule="exact"/>
              <w:rPr>
                <w:rFonts w:ascii="宋体" w:hAnsi="宋体"/>
                <w:sz w:val="24"/>
                <w:szCs w:val="18"/>
              </w:rPr>
            </w:pPr>
            <w:r w:rsidRPr="00F12B5A">
              <w:rPr>
                <w:rFonts w:ascii="宋体" w:hAnsi="宋体" w:hint="eastAsia"/>
                <w:sz w:val="24"/>
                <w:szCs w:val="18"/>
              </w:rPr>
              <w:t>长*宽*高： 160</w:t>
            </w:r>
            <w:r w:rsidRPr="00F12B5A">
              <w:rPr>
                <w:rFonts w:ascii="宋体" w:hAnsi="宋体" w:hint="eastAsia"/>
                <w:color w:val="000000"/>
                <w:sz w:val="24"/>
                <w:szCs w:val="18"/>
                <w:eastAsianLayout w:id="1396870656" w:combine="1"/>
              </w:rPr>
              <w:t>+2 -2</w:t>
            </w:r>
            <w:r w:rsidRPr="00F12B5A">
              <w:rPr>
                <w:rFonts w:ascii="宋体" w:hAnsi="宋体" w:hint="eastAsia"/>
                <w:color w:val="000000"/>
                <w:sz w:val="24"/>
                <w:szCs w:val="18"/>
              </w:rPr>
              <w:t xml:space="preserve"> </w:t>
            </w:r>
            <w:r w:rsidRPr="00F12B5A">
              <w:rPr>
                <w:rFonts w:ascii="宋体" w:hAnsi="宋体" w:hint="eastAsia"/>
                <w:sz w:val="24"/>
                <w:szCs w:val="18"/>
              </w:rPr>
              <w:t>* 90</w:t>
            </w:r>
            <w:r w:rsidRPr="00F12B5A">
              <w:rPr>
                <w:rFonts w:ascii="宋体" w:hAnsi="宋体" w:hint="eastAsia"/>
                <w:color w:val="000000"/>
                <w:sz w:val="24"/>
                <w:szCs w:val="18"/>
                <w:eastAsianLayout w:id="1396870656" w:combine="1"/>
              </w:rPr>
              <w:t>+2 -2</w:t>
            </w:r>
            <w:r w:rsidRPr="00F12B5A">
              <w:rPr>
                <w:rFonts w:ascii="宋体" w:hAnsi="宋体" w:hint="eastAsia"/>
                <w:sz w:val="24"/>
                <w:szCs w:val="18"/>
              </w:rPr>
              <w:t xml:space="preserve"> * 85</w:t>
            </w:r>
            <w:r w:rsidRPr="00F12B5A">
              <w:rPr>
                <w:rFonts w:ascii="宋体" w:hAnsi="宋体" w:hint="eastAsia"/>
                <w:color w:val="000000"/>
                <w:sz w:val="24"/>
                <w:szCs w:val="18"/>
                <w:eastAsianLayout w:id="1396870656" w:combine="1"/>
              </w:rPr>
              <w:t>+1 -1</w:t>
            </w:r>
            <w:r w:rsidRPr="00F12B5A">
              <w:rPr>
                <w:rFonts w:ascii="宋体" w:hAnsi="宋体" w:hint="eastAsia"/>
                <w:color w:val="000000"/>
                <w:sz w:val="24"/>
                <w:szCs w:val="18"/>
              </w:rPr>
              <w:t xml:space="preserve"> mm</w:t>
            </w:r>
          </w:p>
        </w:tc>
      </w:tr>
      <w:tr w:rsidR="00F12B5A" w:rsidRPr="00802463" w:rsidTr="00F12B5A">
        <w:trPr>
          <w:trHeight w:val="567"/>
          <w:jc w:val="center"/>
        </w:trPr>
        <w:tc>
          <w:tcPr>
            <w:tcW w:w="757" w:type="pct"/>
            <w:vMerge/>
            <w:shd w:val="clear" w:color="auto" w:fill="auto"/>
            <w:vAlign w:val="center"/>
          </w:tcPr>
          <w:p w:rsidR="00F12B5A" w:rsidRPr="00F12B5A" w:rsidRDefault="00F12B5A" w:rsidP="00593067">
            <w:pPr>
              <w:spacing w:line="40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885" w:type="pct"/>
            <w:vAlign w:val="center"/>
          </w:tcPr>
          <w:p w:rsidR="00F12B5A" w:rsidRPr="00F12B5A" w:rsidRDefault="00F12B5A" w:rsidP="00593067">
            <w:pPr>
              <w:jc w:val="center"/>
              <w:rPr>
                <w:rFonts w:ascii="宋体" w:hAnsi="宋体"/>
                <w:sz w:val="24"/>
                <w:szCs w:val="18"/>
              </w:rPr>
            </w:pPr>
            <w:r w:rsidRPr="00F12B5A">
              <w:rPr>
                <w:rFonts w:ascii="宋体" w:hAnsi="宋体" w:hint="eastAsia"/>
                <w:sz w:val="24"/>
                <w:szCs w:val="18"/>
              </w:rPr>
              <w:t>中间</w:t>
            </w:r>
          </w:p>
          <w:p w:rsidR="00F12B5A" w:rsidRPr="00F12B5A" w:rsidRDefault="00F12B5A" w:rsidP="00593067">
            <w:pPr>
              <w:jc w:val="center"/>
              <w:rPr>
                <w:rFonts w:ascii="宋体" w:hAnsi="宋体"/>
                <w:sz w:val="24"/>
                <w:szCs w:val="18"/>
              </w:rPr>
            </w:pPr>
            <w:r w:rsidRPr="00F12B5A">
              <w:rPr>
                <w:rFonts w:ascii="宋体" w:hAnsi="宋体" w:hint="eastAsia"/>
                <w:sz w:val="24"/>
                <w:szCs w:val="18"/>
              </w:rPr>
              <w:t>（共3块）</w:t>
            </w:r>
          </w:p>
        </w:tc>
        <w:tc>
          <w:tcPr>
            <w:tcW w:w="3358" w:type="pct"/>
            <w:shd w:val="clear" w:color="auto" w:fill="auto"/>
            <w:vAlign w:val="center"/>
          </w:tcPr>
          <w:p w:rsidR="00F12B5A" w:rsidRPr="00F12B5A" w:rsidRDefault="00F12B5A" w:rsidP="00593067">
            <w:pPr>
              <w:spacing w:line="400" w:lineRule="exact"/>
              <w:rPr>
                <w:rFonts w:ascii="宋体" w:hAnsi="宋体"/>
                <w:sz w:val="24"/>
                <w:szCs w:val="18"/>
              </w:rPr>
            </w:pPr>
            <w:r w:rsidRPr="00F12B5A">
              <w:rPr>
                <w:rFonts w:ascii="宋体" w:hAnsi="宋体" w:hint="eastAsia"/>
                <w:sz w:val="24"/>
                <w:szCs w:val="18"/>
              </w:rPr>
              <w:t>长*宽*高： 120</w:t>
            </w:r>
            <w:r w:rsidRPr="00F12B5A">
              <w:rPr>
                <w:rFonts w:ascii="宋体" w:hAnsi="宋体" w:hint="eastAsia"/>
                <w:color w:val="000000"/>
                <w:sz w:val="24"/>
                <w:szCs w:val="18"/>
                <w:eastAsianLayout w:id="1396870656" w:combine="1"/>
              </w:rPr>
              <w:t>+2 -2</w:t>
            </w:r>
            <w:r w:rsidRPr="00F12B5A">
              <w:rPr>
                <w:rFonts w:ascii="宋体" w:hAnsi="宋体" w:hint="eastAsia"/>
                <w:color w:val="000000"/>
                <w:sz w:val="24"/>
                <w:szCs w:val="18"/>
              </w:rPr>
              <w:t xml:space="preserve"> </w:t>
            </w:r>
            <w:r w:rsidRPr="00F12B5A">
              <w:rPr>
                <w:rFonts w:ascii="宋体" w:hAnsi="宋体" w:hint="eastAsia"/>
                <w:sz w:val="24"/>
                <w:szCs w:val="18"/>
              </w:rPr>
              <w:t>* 90</w:t>
            </w:r>
            <w:r w:rsidRPr="00F12B5A">
              <w:rPr>
                <w:rFonts w:ascii="宋体" w:hAnsi="宋体" w:hint="eastAsia"/>
                <w:color w:val="000000"/>
                <w:sz w:val="24"/>
                <w:szCs w:val="18"/>
                <w:eastAsianLayout w:id="1396870656" w:combine="1"/>
              </w:rPr>
              <w:t>+2 -2</w:t>
            </w:r>
            <w:r w:rsidRPr="00F12B5A">
              <w:rPr>
                <w:rFonts w:ascii="宋体" w:hAnsi="宋体" w:hint="eastAsia"/>
                <w:sz w:val="24"/>
                <w:szCs w:val="18"/>
              </w:rPr>
              <w:t xml:space="preserve"> * 85</w:t>
            </w:r>
            <w:r w:rsidRPr="00F12B5A">
              <w:rPr>
                <w:rFonts w:ascii="宋体" w:hAnsi="宋体" w:hint="eastAsia"/>
                <w:color w:val="000000"/>
                <w:sz w:val="24"/>
                <w:szCs w:val="18"/>
                <w:eastAsianLayout w:id="1396870656" w:combine="1"/>
              </w:rPr>
              <w:t>+1 -1</w:t>
            </w:r>
            <w:r w:rsidRPr="00F12B5A">
              <w:rPr>
                <w:rFonts w:ascii="宋体" w:hAnsi="宋体" w:hint="eastAsia"/>
                <w:color w:val="000000"/>
                <w:sz w:val="24"/>
                <w:szCs w:val="18"/>
              </w:rPr>
              <w:t xml:space="preserve"> mm</w:t>
            </w:r>
          </w:p>
        </w:tc>
      </w:tr>
      <w:tr w:rsidR="00F12B5A" w:rsidRPr="00802463" w:rsidTr="00F12B5A">
        <w:trPr>
          <w:trHeight w:val="567"/>
          <w:jc w:val="center"/>
        </w:trPr>
        <w:tc>
          <w:tcPr>
            <w:tcW w:w="757" w:type="pct"/>
            <w:shd w:val="clear" w:color="auto" w:fill="auto"/>
            <w:vAlign w:val="center"/>
          </w:tcPr>
          <w:p w:rsidR="00F12B5A" w:rsidRPr="00F12B5A" w:rsidRDefault="00F12B5A" w:rsidP="00593067">
            <w:pPr>
              <w:spacing w:line="400" w:lineRule="exact"/>
              <w:jc w:val="center"/>
              <w:rPr>
                <w:rFonts w:ascii="宋体" w:hAnsi="宋体"/>
                <w:sz w:val="24"/>
                <w:szCs w:val="18"/>
              </w:rPr>
            </w:pPr>
            <w:r w:rsidRPr="00F12B5A">
              <w:rPr>
                <w:rFonts w:ascii="宋体" w:hAnsi="宋体" w:hint="eastAsia"/>
                <w:sz w:val="24"/>
                <w:szCs w:val="18"/>
              </w:rPr>
              <w:t>对角线偏差</w:t>
            </w:r>
          </w:p>
        </w:tc>
        <w:tc>
          <w:tcPr>
            <w:tcW w:w="885" w:type="pct"/>
            <w:vAlign w:val="center"/>
          </w:tcPr>
          <w:p w:rsidR="00F12B5A" w:rsidRPr="00F12B5A" w:rsidRDefault="00F12B5A" w:rsidP="00593067">
            <w:pPr>
              <w:spacing w:line="400" w:lineRule="exact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358" w:type="pct"/>
            <w:shd w:val="clear" w:color="auto" w:fill="auto"/>
            <w:vAlign w:val="center"/>
          </w:tcPr>
          <w:p w:rsidR="00F12B5A" w:rsidRPr="00F12B5A" w:rsidRDefault="00F12B5A" w:rsidP="00593067">
            <w:pPr>
              <w:spacing w:line="400" w:lineRule="exact"/>
              <w:rPr>
                <w:rFonts w:ascii="宋体" w:hAnsi="宋体"/>
                <w:sz w:val="24"/>
                <w:szCs w:val="18"/>
              </w:rPr>
            </w:pPr>
            <w:r w:rsidRPr="00F12B5A">
              <w:rPr>
                <w:rFonts w:ascii="宋体" w:hAnsi="宋体" w:hint="eastAsia"/>
                <w:sz w:val="24"/>
                <w:szCs w:val="18"/>
              </w:rPr>
              <w:t>托盘平面两对角线长度之差应不大于对角线长度的1%</w:t>
            </w:r>
          </w:p>
        </w:tc>
      </w:tr>
      <w:tr w:rsidR="00F12B5A" w:rsidRPr="00802463" w:rsidTr="00F12B5A">
        <w:trPr>
          <w:trHeight w:val="567"/>
          <w:jc w:val="center"/>
        </w:trPr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B5A" w:rsidRPr="00F12B5A" w:rsidRDefault="00F12B5A" w:rsidP="00593067">
            <w:pPr>
              <w:spacing w:line="400" w:lineRule="exact"/>
              <w:jc w:val="center"/>
              <w:rPr>
                <w:rFonts w:ascii="宋体" w:hAnsi="宋体"/>
                <w:sz w:val="24"/>
                <w:szCs w:val="18"/>
              </w:rPr>
            </w:pPr>
            <w:r w:rsidRPr="00F12B5A">
              <w:rPr>
                <w:rFonts w:ascii="宋体" w:hAnsi="宋体" w:hint="eastAsia"/>
                <w:sz w:val="24"/>
                <w:szCs w:val="18"/>
              </w:rPr>
              <w:t>平面度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vAlign w:val="center"/>
          </w:tcPr>
          <w:p w:rsidR="00F12B5A" w:rsidRPr="00F12B5A" w:rsidRDefault="00F12B5A" w:rsidP="00593067">
            <w:pPr>
              <w:spacing w:line="40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B5A" w:rsidRPr="00F12B5A" w:rsidRDefault="00F12B5A" w:rsidP="00593067">
            <w:pPr>
              <w:spacing w:line="400" w:lineRule="exact"/>
              <w:rPr>
                <w:rFonts w:ascii="宋体" w:hAnsi="宋体"/>
                <w:sz w:val="24"/>
                <w:szCs w:val="18"/>
              </w:rPr>
            </w:pPr>
            <w:r w:rsidRPr="00F12B5A">
              <w:rPr>
                <w:rFonts w:ascii="宋体" w:hAnsi="宋体" w:hint="eastAsia"/>
                <w:sz w:val="24"/>
                <w:szCs w:val="18"/>
              </w:rPr>
              <w:t>≤7mm</w:t>
            </w:r>
          </w:p>
        </w:tc>
      </w:tr>
    </w:tbl>
    <w:p w:rsidR="00C03329" w:rsidRPr="00D64F4F" w:rsidRDefault="00BC31B5" w:rsidP="00F12B5A">
      <w:pPr>
        <w:spacing w:line="360" w:lineRule="auto"/>
        <w:ind w:firstLineChars="200" w:firstLine="640"/>
        <w:rPr>
          <w:rFonts w:ascii="黑体" w:eastAsia="黑体" w:hAnsi="黑体" w:cs="Times New Roman"/>
          <w:color w:val="000000"/>
          <w:kern w:val="0"/>
          <w:sz w:val="32"/>
          <w:szCs w:val="24"/>
        </w:rPr>
      </w:pPr>
      <w:r>
        <w:rPr>
          <w:rFonts w:ascii="黑体" w:eastAsia="黑体" w:hAnsi="黑体" w:cs="Times New Roman" w:hint="eastAsia"/>
          <w:color w:val="000000"/>
          <w:kern w:val="0"/>
          <w:sz w:val="32"/>
          <w:szCs w:val="24"/>
        </w:rPr>
        <w:t>六、主要参考文献和资料</w:t>
      </w:r>
    </w:p>
    <w:p w:rsidR="00543BC5" w:rsidRPr="00543BC5" w:rsidRDefault="00543BC5" w:rsidP="009C76A7">
      <w:pPr>
        <w:spacing w:line="360" w:lineRule="auto"/>
        <w:ind w:firstLineChars="200" w:firstLine="640"/>
        <w:rPr>
          <w:rFonts w:ascii="仿宋_GB2312" w:eastAsia="仿宋_GB2312" w:hAnsi="宋体" w:cs="Times New Roman"/>
          <w:color w:val="000000"/>
          <w:kern w:val="0"/>
          <w:sz w:val="32"/>
          <w:szCs w:val="24"/>
        </w:rPr>
      </w:pPr>
      <w:r w:rsidRPr="00543BC5">
        <w:rPr>
          <w:rFonts w:ascii="仿宋_GB2312" w:eastAsia="仿宋_GB2312" w:hAnsi="宋体" w:cs="Times New Roman" w:hint="eastAsia"/>
          <w:color w:val="000000"/>
          <w:kern w:val="0"/>
          <w:sz w:val="32"/>
          <w:szCs w:val="24"/>
        </w:rPr>
        <w:t>GB/T 1935 木材顺纹抗压强度试验方法</w:t>
      </w:r>
    </w:p>
    <w:p w:rsidR="00543BC5" w:rsidRPr="00543BC5" w:rsidRDefault="00543BC5" w:rsidP="009C76A7">
      <w:pPr>
        <w:spacing w:line="360" w:lineRule="auto"/>
        <w:ind w:firstLineChars="200" w:firstLine="640"/>
        <w:rPr>
          <w:rFonts w:ascii="仿宋_GB2312" w:eastAsia="仿宋_GB2312" w:hAnsi="宋体" w:cs="Times New Roman"/>
          <w:color w:val="000000"/>
          <w:kern w:val="0"/>
          <w:sz w:val="32"/>
          <w:szCs w:val="24"/>
        </w:rPr>
      </w:pPr>
      <w:r w:rsidRPr="00543BC5">
        <w:rPr>
          <w:rFonts w:ascii="仿宋_GB2312" w:eastAsia="仿宋_GB2312" w:hAnsi="宋体" w:cs="Times New Roman" w:hint="eastAsia"/>
          <w:color w:val="000000"/>
          <w:kern w:val="0"/>
          <w:sz w:val="32"/>
          <w:szCs w:val="24"/>
        </w:rPr>
        <w:t>GB/T 1936.1 木材抗弯强度试验方法</w:t>
      </w:r>
    </w:p>
    <w:p w:rsidR="00543BC5" w:rsidRPr="00543BC5" w:rsidRDefault="00543BC5" w:rsidP="009C76A7">
      <w:pPr>
        <w:spacing w:line="360" w:lineRule="auto"/>
        <w:ind w:firstLineChars="200" w:firstLine="640"/>
        <w:rPr>
          <w:rFonts w:ascii="仿宋_GB2312" w:eastAsia="仿宋_GB2312" w:hAnsi="宋体" w:cs="Times New Roman"/>
          <w:color w:val="000000"/>
          <w:kern w:val="0"/>
          <w:sz w:val="32"/>
          <w:szCs w:val="24"/>
        </w:rPr>
      </w:pPr>
      <w:r w:rsidRPr="00543BC5">
        <w:rPr>
          <w:rFonts w:ascii="仿宋_GB2312" w:eastAsia="仿宋_GB2312" w:hAnsi="宋体" w:cs="Times New Roman" w:hint="eastAsia"/>
          <w:color w:val="000000"/>
          <w:kern w:val="0"/>
          <w:sz w:val="32"/>
          <w:szCs w:val="24"/>
        </w:rPr>
        <w:t>GB/T 3716-2000 托盘术语</w:t>
      </w:r>
    </w:p>
    <w:p w:rsidR="00543BC5" w:rsidRPr="00543BC5" w:rsidRDefault="00543BC5" w:rsidP="009C76A7">
      <w:pPr>
        <w:spacing w:line="360" w:lineRule="auto"/>
        <w:ind w:firstLineChars="200" w:firstLine="640"/>
        <w:rPr>
          <w:rFonts w:ascii="仿宋_GB2312" w:eastAsia="仿宋_GB2312" w:hAnsi="宋体" w:cs="Times New Roman"/>
          <w:color w:val="000000"/>
          <w:kern w:val="0"/>
          <w:sz w:val="32"/>
          <w:szCs w:val="24"/>
        </w:rPr>
      </w:pPr>
      <w:r w:rsidRPr="00543BC5">
        <w:rPr>
          <w:rFonts w:ascii="仿宋_GB2312" w:eastAsia="仿宋_GB2312" w:hAnsi="宋体" w:cs="Times New Roman" w:hint="eastAsia"/>
          <w:color w:val="000000"/>
          <w:kern w:val="0"/>
          <w:sz w:val="32"/>
          <w:szCs w:val="24"/>
        </w:rPr>
        <w:t>GB/T 4823锯材缺陷</w:t>
      </w:r>
    </w:p>
    <w:p w:rsidR="00543BC5" w:rsidRPr="00543BC5" w:rsidRDefault="00543BC5" w:rsidP="009C76A7">
      <w:pPr>
        <w:spacing w:line="360" w:lineRule="auto"/>
        <w:ind w:firstLineChars="200" w:firstLine="640"/>
        <w:rPr>
          <w:rFonts w:ascii="仿宋_GB2312" w:eastAsia="仿宋_GB2312" w:hAnsi="宋体" w:cs="Times New Roman"/>
          <w:color w:val="000000"/>
          <w:kern w:val="0"/>
          <w:sz w:val="32"/>
          <w:szCs w:val="24"/>
        </w:rPr>
      </w:pPr>
      <w:r w:rsidRPr="00543BC5">
        <w:rPr>
          <w:rFonts w:ascii="仿宋_GB2312" w:eastAsia="仿宋_GB2312" w:hAnsi="宋体" w:cs="Times New Roman" w:hint="eastAsia"/>
          <w:color w:val="000000"/>
          <w:kern w:val="0"/>
          <w:sz w:val="32"/>
          <w:szCs w:val="24"/>
        </w:rPr>
        <w:t>GB/T 2934-2007联运通用平托盘 主要尺寸及公差</w:t>
      </w:r>
    </w:p>
    <w:p w:rsidR="00543BC5" w:rsidRPr="00543BC5" w:rsidRDefault="00543BC5" w:rsidP="009C76A7">
      <w:pPr>
        <w:spacing w:line="360" w:lineRule="auto"/>
        <w:ind w:firstLineChars="200" w:firstLine="640"/>
        <w:rPr>
          <w:rFonts w:ascii="仿宋_GB2312" w:eastAsia="仿宋_GB2312" w:hAnsi="宋体" w:cs="Times New Roman"/>
          <w:color w:val="000000"/>
          <w:kern w:val="0"/>
          <w:sz w:val="32"/>
          <w:szCs w:val="24"/>
        </w:rPr>
      </w:pPr>
      <w:r w:rsidRPr="00543BC5">
        <w:rPr>
          <w:rFonts w:ascii="仿宋_GB2312" w:eastAsia="仿宋_GB2312" w:hAnsi="宋体" w:cs="Times New Roman" w:hint="eastAsia"/>
          <w:color w:val="000000"/>
          <w:kern w:val="0"/>
          <w:sz w:val="32"/>
          <w:szCs w:val="24"/>
        </w:rPr>
        <w:t>GB/T 31148-2014联运通用平托盘 木质平托盘</w:t>
      </w:r>
    </w:p>
    <w:p w:rsidR="00543BC5" w:rsidRPr="00543BC5" w:rsidRDefault="00543BC5" w:rsidP="009C76A7">
      <w:pPr>
        <w:spacing w:line="360" w:lineRule="auto"/>
        <w:ind w:firstLineChars="200" w:firstLine="640"/>
        <w:rPr>
          <w:rFonts w:ascii="仿宋_GB2312" w:eastAsia="仿宋_GB2312" w:hAnsi="宋体" w:cs="Times New Roman"/>
          <w:color w:val="000000"/>
          <w:kern w:val="0"/>
          <w:sz w:val="32"/>
          <w:szCs w:val="24"/>
        </w:rPr>
      </w:pPr>
      <w:r w:rsidRPr="00543BC5">
        <w:rPr>
          <w:rFonts w:ascii="仿宋_GB2312" w:eastAsia="仿宋_GB2312" w:hAnsi="宋体" w:cs="Times New Roman" w:hint="eastAsia"/>
          <w:color w:val="000000"/>
          <w:kern w:val="0"/>
          <w:sz w:val="32"/>
          <w:szCs w:val="24"/>
        </w:rPr>
        <w:t>GB/T 4995联运通用平托盘 性能要求</w:t>
      </w:r>
    </w:p>
    <w:p w:rsidR="00543BC5" w:rsidRPr="00543BC5" w:rsidRDefault="00543BC5" w:rsidP="009C76A7">
      <w:pPr>
        <w:spacing w:line="360" w:lineRule="auto"/>
        <w:ind w:firstLineChars="200" w:firstLine="640"/>
        <w:rPr>
          <w:rFonts w:ascii="仿宋_GB2312" w:eastAsia="仿宋_GB2312" w:hAnsi="宋体" w:cs="Times New Roman"/>
          <w:color w:val="000000"/>
          <w:kern w:val="0"/>
          <w:sz w:val="32"/>
          <w:szCs w:val="24"/>
        </w:rPr>
      </w:pPr>
      <w:r w:rsidRPr="00543BC5">
        <w:rPr>
          <w:rFonts w:ascii="仿宋_GB2312" w:eastAsia="仿宋_GB2312" w:hAnsi="宋体" w:cs="Times New Roman" w:hint="eastAsia"/>
          <w:color w:val="000000"/>
          <w:kern w:val="0"/>
          <w:sz w:val="32"/>
          <w:szCs w:val="24"/>
        </w:rPr>
        <w:lastRenderedPageBreak/>
        <w:t>GB/T 4996联运通用平托盘 试验方法</w:t>
      </w:r>
    </w:p>
    <w:p w:rsidR="00543BC5" w:rsidRPr="00543BC5" w:rsidRDefault="00543BC5" w:rsidP="009C76A7">
      <w:pPr>
        <w:spacing w:line="360" w:lineRule="auto"/>
        <w:ind w:firstLineChars="200" w:firstLine="640"/>
        <w:rPr>
          <w:rFonts w:ascii="仿宋_GB2312" w:eastAsia="仿宋_GB2312" w:hAnsi="宋体" w:cs="Times New Roman"/>
          <w:color w:val="000000"/>
          <w:kern w:val="0"/>
          <w:sz w:val="32"/>
          <w:szCs w:val="24"/>
        </w:rPr>
      </w:pPr>
      <w:r w:rsidRPr="00543BC5">
        <w:rPr>
          <w:rFonts w:ascii="仿宋_GB2312" w:eastAsia="仿宋_GB2312" w:hAnsi="宋体" w:cs="Times New Roman" w:hint="eastAsia"/>
          <w:color w:val="000000"/>
          <w:kern w:val="0"/>
          <w:sz w:val="32"/>
          <w:szCs w:val="24"/>
        </w:rPr>
        <w:t>GB/T 15425-2014商品条码 128条码</w:t>
      </w:r>
    </w:p>
    <w:p w:rsidR="00543BC5" w:rsidRDefault="00543BC5" w:rsidP="009C76A7">
      <w:pPr>
        <w:spacing w:line="360" w:lineRule="auto"/>
        <w:ind w:firstLineChars="200" w:firstLine="640"/>
        <w:rPr>
          <w:rFonts w:ascii="仿宋_GB2312" w:eastAsia="仿宋_GB2312" w:hAnsi="宋体" w:cs="Times New Roman"/>
          <w:color w:val="000000"/>
          <w:kern w:val="0"/>
          <w:sz w:val="32"/>
          <w:szCs w:val="24"/>
        </w:rPr>
      </w:pPr>
      <w:r w:rsidRPr="00543BC5">
        <w:rPr>
          <w:rFonts w:ascii="仿宋_GB2312" w:eastAsia="仿宋_GB2312" w:hAnsi="宋体" w:cs="Times New Roman" w:hint="eastAsia"/>
          <w:color w:val="000000"/>
          <w:kern w:val="0"/>
          <w:sz w:val="32"/>
          <w:szCs w:val="24"/>
        </w:rPr>
        <w:t>GB/T 18284-2000快速响应矩阵码</w:t>
      </w:r>
    </w:p>
    <w:p w:rsidR="00F12B5A" w:rsidRPr="00543BC5" w:rsidRDefault="00F12B5A" w:rsidP="00F12B5A">
      <w:pPr>
        <w:spacing w:line="360" w:lineRule="auto"/>
        <w:ind w:firstLineChars="200" w:firstLine="640"/>
        <w:rPr>
          <w:rFonts w:ascii="仿宋_GB2312" w:eastAsia="仿宋_GB2312" w:hAnsi="宋体" w:cs="Times New Roman"/>
          <w:color w:val="000000"/>
          <w:kern w:val="0"/>
          <w:sz w:val="32"/>
          <w:szCs w:val="24"/>
        </w:rPr>
      </w:pPr>
      <w:r w:rsidRPr="00F12B5A">
        <w:rPr>
          <w:rFonts w:ascii="仿宋_GB2312" w:eastAsia="仿宋_GB2312" w:hAnsi="宋体" w:cs="Times New Roman" w:hint="eastAsia"/>
          <w:color w:val="000000"/>
          <w:kern w:val="0"/>
          <w:sz w:val="32"/>
          <w:szCs w:val="24"/>
        </w:rPr>
        <w:t>T/WD 102.1-2017 开放式循环木质平托盘 日字形周底托盘</w:t>
      </w:r>
    </w:p>
    <w:p w:rsidR="00543BC5" w:rsidRPr="00543BC5" w:rsidRDefault="00543BC5" w:rsidP="009C76A7">
      <w:pPr>
        <w:spacing w:line="360" w:lineRule="auto"/>
        <w:ind w:firstLineChars="200" w:firstLine="640"/>
        <w:rPr>
          <w:rFonts w:ascii="仿宋_GB2312" w:eastAsia="仿宋_GB2312" w:hAnsi="宋体" w:cs="Times New Roman"/>
          <w:color w:val="000000"/>
          <w:kern w:val="0"/>
          <w:sz w:val="32"/>
          <w:szCs w:val="24"/>
        </w:rPr>
      </w:pPr>
      <w:r w:rsidRPr="00543BC5">
        <w:rPr>
          <w:rFonts w:ascii="仿宋_GB2312" w:eastAsia="仿宋_GB2312" w:hAnsi="宋体" w:cs="Times New Roman" w:hint="eastAsia"/>
          <w:color w:val="000000"/>
          <w:kern w:val="0"/>
          <w:sz w:val="32"/>
          <w:szCs w:val="24"/>
        </w:rPr>
        <w:t>GB 27704钢钉</w:t>
      </w:r>
    </w:p>
    <w:p w:rsidR="00543BC5" w:rsidRDefault="00543BC5" w:rsidP="009C76A7">
      <w:pPr>
        <w:spacing w:line="360" w:lineRule="auto"/>
        <w:ind w:firstLineChars="200" w:firstLine="640"/>
        <w:rPr>
          <w:rFonts w:ascii="仿宋_GB2312" w:eastAsia="仿宋_GB2312" w:hAnsi="宋体" w:cs="Times New Roman"/>
          <w:color w:val="000000"/>
          <w:kern w:val="0"/>
          <w:sz w:val="32"/>
          <w:szCs w:val="24"/>
        </w:rPr>
      </w:pPr>
      <w:r w:rsidRPr="00543BC5">
        <w:rPr>
          <w:rFonts w:ascii="仿宋_GB2312" w:eastAsia="仿宋_GB2312" w:hAnsi="宋体" w:cs="Times New Roman" w:hint="eastAsia"/>
          <w:color w:val="000000"/>
          <w:kern w:val="0"/>
          <w:sz w:val="32"/>
          <w:szCs w:val="24"/>
        </w:rPr>
        <w:t>EN 13183-2-2002 锯材的含水率</w:t>
      </w:r>
    </w:p>
    <w:p w:rsidR="00EC1059" w:rsidRPr="00EC1059" w:rsidRDefault="00EC1059" w:rsidP="00F12B5A">
      <w:pPr>
        <w:spacing w:line="360" w:lineRule="auto"/>
        <w:rPr>
          <w:rFonts w:ascii="仿宋_GB2312" w:eastAsia="仿宋_GB2312" w:hAnsi="宋体" w:cs="Times New Roman"/>
          <w:color w:val="000000"/>
          <w:kern w:val="0"/>
          <w:sz w:val="32"/>
          <w:szCs w:val="24"/>
        </w:rPr>
      </w:pPr>
    </w:p>
    <w:sectPr w:rsidR="00EC1059" w:rsidRPr="00EC1059" w:rsidSect="00273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069" w:rsidRDefault="00EF4069" w:rsidP="003F149F">
      <w:r>
        <w:separator/>
      </w:r>
    </w:p>
  </w:endnote>
  <w:endnote w:type="continuationSeparator" w:id="0">
    <w:p w:rsidR="00EF4069" w:rsidRDefault="00EF4069" w:rsidP="003F1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069" w:rsidRDefault="00EF4069" w:rsidP="003F149F">
      <w:r>
        <w:separator/>
      </w:r>
    </w:p>
  </w:footnote>
  <w:footnote w:type="continuationSeparator" w:id="0">
    <w:p w:rsidR="00EF4069" w:rsidRDefault="00EF4069" w:rsidP="003F1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4679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2D8"/>
    <w:rsid w:val="000F309B"/>
    <w:rsid w:val="000F32B9"/>
    <w:rsid w:val="00195331"/>
    <w:rsid w:val="00273858"/>
    <w:rsid w:val="00384F97"/>
    <w:rsid w:val="003F149F"/>
    <w:rsid w:val="004273C8"/>
    <w:rsid w:val="004660CA"/>
    <w:rsid w:val="004F6398"/>
    <w:rsid w:val="004F6408"/>
    <w:rsid w:val="00514961"/>
    <w:rsid w:val="00543BC5"/>
    <w:rsid w:val="006F0CF2"/>
    <w:rsid w:val="00724286"/>
    <w:rsid w:val="00751308"/>
    <w:rsid w:val="007E403E"/>
    <w:rsid w:val="00904B90"/>
    <w:rsid w:val="009C76A7"/>
    <w:rsid w:val="009F2824"/>
    <w:rsid w:val="00AC0130"/>
    <w:rsid w:val="00AF02D8"/>
    <w:rsid w:val="00B675D8"/>
    <w:rsid w:val="00B7303E"/>
    <w:rsid w:val="00BC31B5"/>
    <w:rsid w:val="00C03329"/>
    <w:rsid w:val="00CD1575"/>
    <w:rsid w:val="00CE7D5D"/>
    <w:rsid w:val="00D24091"/>
    <w:rsid w:val="00D64F4F"/>
    <w:rsid w:val="00EC1059"/>
    <w:rsid w:val="00EF4069"/>
    <w:rsid w:val="00F12B5A"/>
    <w:rsid w:val="00F8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4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49F"/>
    <w:rPr>
      <w:sz w:val="18"/>
      <w:szCs w:val="18"/>
    </w:rPr>
  </w:style>
  <w:style w:type="paragraph" w:customStyle="1" w:styleId="a5">
    <w:name w:val="一级条标题"/>
    <w:next w:val="a"/>
    <w:rsid w:val="00C03329"/>
    <w:pPr>
      <w:tabs>
        <w:tab w:val="left" w:pos="360"/>
      </w:tabs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styleId="a6">
    <w:name w:val="List Paragraph"/>
    <w:basedOn w:val="a"/>
    <w:uiPriority w:val="34"/>
    <w:qFormat/>
    <w:rsid w:val="00C0332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4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49F"/>
    <w:rPr>
      <w:sz w:val="18"/>
      <w:szCs w:val="18"/>
    </w:rPr>
  </w:style>
  <w:style w:type="paragraph" w:customStyle="1" w:styleId="a5">
    <w:name w:val="一级条标题"/>
    <w:next w:val="a"/>
    <w:rsid w:val="00C03329"/>
    <w:pPr>
      <w:tabs>
        <w:tab w:val="left" w:pos="360"/>
      </w:tabs>
      <w:spacing w:beforeLines="50" w:before="156" w:afterLines="50" w:after="156"/>
      <w:outlineLvl w:val="2"/>
    </w:pPr>
    <w:rPr>
      <w:rFonts w:ascii="黑体" w:eastAsia="黑体" w:hAnsi="Times New Roman" w:cs="Times New Roman"/>
      <w:kern w:val="0"/>
      <w:szCs w:val="21"/>
    </w:rPr>
  </w:style>
  <w:style w:type="paragraph" w:styleId="a6">
    <w:name w:val="List Paragraph"/>
    <w:basedOn w:val="a"/>
    <w:uiPriority w:val="34"/>
    <w:qFormat/>
    <w:rsid w:val="00C033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dcterms:created xsi:type="dcterms:W3CDTF">2018-03-28T02:54:00Z</dcterms:created>
  <dcterms:modified xsi:type="dcterms:W3CDTF">2018-04-17T03:44:00Z</dcterms:modified>
</cp:coreProperties>
</file>